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7653A1" w:rsidRPr="007653A1" w:rsidP="00CC5D0D">
      <w:pPr>
        <w:spacing w:after="0" w:line="276" w:lineRule="auto"/>
        <w:jc w:val="both"/>
        <w:rPr>
          <w:rFonts w:ascii="Calibri" w:eastAsia="MS Mincho" w:hAnsi="Calibri" w:cs="Calibri"/>
          <w:lang w:val="en-US"/>
        </w:rPr>
      </w:pPr>
      <w:r w:rsidRPr="0087448F" w:rsidR="004E3E08">
        <w:rPr>
          <w:rFonts w:ascii="Calibri" w:eastAsia="MS Mincho" w:hAnsi="Calibri" w:cs="Calibri"/>
          <w:lang w:val="en-US"/>
        </w:rPr>
        <w:t>Within the capacity of data subject, your personal data are processed under the conditions and within the limits prescribed by the applicable legislation, as explained below. As per the Article 10 of the Law on the Protection of Personal Data (“PDPL”), data controllers are obliged to inform the natural persons whose personal data they process on certain issues, and thereby please find information on our personal data processing process below.</w:t>
      </w:r>
    </w:p>
    <w:p w:rsidR="007653A1" w:rsidRPr="007653A1" w:rsidP="00CC5D0D">
      <w:pPr>
        <w:spacing w:after="200" w:line="276" w:lineRule="auto"/>
        <w:jc w:val="both"/>
        <w:rPr>
          <w:rFonts w:ascii="Calibri" w:eastAsia="MS Mincho" w:hAnsi="Calibri" w:cs="Calibri"/>
          <w:b/>
          <w:lang w:val="en-US"/>
        </w:rPr>
      </w:pPr>
      <w:r w:rsidRPr="007653A1">
        <w:rPr>
          <w:rFonts w:ascii="Calibri" w:eastAsia="MS Mincho" w:hAnsi="Calibri" w:cs="Calibri"/>
          <w:b/>
          <w:lang w:val="en-US"/>
        </w:rPr>
        <w:t>Information On the Data Controller</w:t>
      </w:r>
    </w:p>
    <w:p w:rsidR="007653A1" w:rsidRPr="007653A1" w:rsidP="00CC5D0D">
      <w:pPr>
        <w:spacing w:after="200" w:line="276" w:lineRule="auto"/>
        <w:jc w:val="both"/>
        <w:rPr>
          <w:rFonts w:ascii="Calibri" w:eastAsia="MS Mincho" w:hAnsi="Calibri" w:cs="Calibri"/>
          <w:lang w:val="en-US"/>
        </w:rPr>
      </w:pPr>
      <w:r w:rsidRPr="007653A1">
        <w:rPr>
          <w:rFonts w:ascii="Calibri" w:eastAsia="MS Mincho" w:hAnsi="Calibri" w:cs="Calibri"/>
          <w:lang w:val="en-US"/>
        </w:rPr>
        <w:t>Within the scope of Law No. 6698 on the Protection of Personal Data (“PDPL”), Istanbul Gelisim University, which will be referred as “GELISIM”, acts as the data controller due to processing your personal data.</w:t>
      </w:r>
    </w:p>
    <w:p w:rsidR="007653A1" w:rsidRPr="007653A1" w:rsidP="00CC5D0D">
      <w:pPr>
        <w:spacing w:after="200" w:line="276" w:lineRule="auto"/>
        <w:jc w:val="both"/>
        <w:rPr>
          <w:rFonts w:ascii="Calibri" w:eastAsia="MS Mincho" w:hAnsi="Calibri" w:cs="Calibri"/>
          <w:b/>
          <w:lang w:val="en-US"/>
        </w:rPr>
      </w:pPr>
      <w:r>
        <w:rPr>
          <w:rFonts w:ascii="Calibri" w:eastAsia="MS Mincho" w:hAnsi="Calibri" w:cs="Calibri"/>
          <w:b/>
          <w:lang w:val="en-US"/>
        </w:rPr>
        <w:t>Processing of Personal Data</w:t>
      </w:r>
    </w:p>
    <w:tbl>
      <w:tblPr>
        <w:tblStyle w:val="TabloKlavuzu1"/>
        <w:tblW w:w="0" w:type="auto"/>
        <w:tblBorders>
          <w:insideH w:val="none" w:sz="0" w:space="0" w:color="auto"/>
          <w:insideV w:val="none" w:sz="0" w:space="0" w:color="auto"/>
        </w:tblBorders>
        <w:tblLook w:val="04A0"/>
      </w:tblPr>
      <w:tblGrid>
        <w:gridCol w:w="8780"/>
      </w:tblGrid>
      <w:tr w:rsidTr="00AC5045">
        <w:tblPrEx>
          <w:tblW w:w="0" w:type="auto"/>
          <w:tblLook w:val="04A0"/>
        </w:tblPrEx>
        <w:tc>
          <w:tcPr>
            <w:tcW w:w="8780" w:type="dxa"/>
          </w:tcPr>
          <w:p w:rsidR="007653A1" w:rsidRPr="007653A1" w:rsidP="00CC5D0D">
            <w:pPr>
              <w:jc w:val="both"/>
              <w:rPr>
                <w:rFonts w:eastAsiaTheme="minorEastAsia" w:cstheme="minorHAnsi"/>
                <w:b/>
              </w:rPr>
            </w:pPr>
            <w:r w:rsidRPr="007653A1">
              <w:rPr>
                <w:rFonts w:eastAsiaTheme="minorEastAsia" w:cstheme="minorHAnsi"/>
                <w:b/>
              </w:rPr>
              <w:t>Scientific Journals Coordinatorship;</w:t>
            </w:r>
          </w:p>
          <w:p w:rsidR="007653A1" w:rsidRPr="007653A1" w:rsidP="00CC5D0D">
            <w:pPr>
              <w:jc w:val="both"/>
              <w:rPr>
                <w:rFonts w:eastAsiaTheme="minorEastAsia" w:cstheme="minorHAnsi"/>
                <w:b/>
              </w:rPr>
            </w:pPr>
            <w:r w:rsidRPr="007653A1">
              <w:rPr>
                <w:rFonts w:eastAsiaTheme="minorEastAsia" w:cstheme="minorHAnsi"/>
                <w:b/>
              </w:rPr>
              <w:t>Reviewer Payment Process</w:t>
            </w:r>
          </w:p>
          <w:p w:rsidR="007653A1" w:rsidRPr="007653A1" w:rsidP="00CC5D0D">
            <w:pPr>
              <w:jc w:val="both"/>
              <w:rPr>
                <w:rFonts w:eastAsiaTheme="minorEastAsia" w:cstheme="minorHAnsi"/>
                <w:b/>
              </w:rPr>
            </w:pPr>
            <w:r w:rsidRPr="007653A1">
              <w:rPr>
                <w:rFonts w:eastAsiaTheme="minorEastAsia" w:cstheme="minorHAnsi"/>
                <w:b/>
              </w:rPr>
              <w:t xml:space="preserve">Identity Information </w:t>
            </w:r>
            <w:r w:rsidRPr="00963B55">
              <w:rPr>
                <w:rFonts w:eastAsiaTheme="minorEastAsia" w:cstheme="minorHAnsi"/>
              </w:rPr>
              <w:t>(Name/Surname, Turkish ID Number, Signature)</w:t>
            </w:r>
          </w:p>
          <w:p w:rsidR="007653A1" w:rsidRPr="007653A1" w:rsidP="00CC5D0D">
            <w:pPr>
              <w:jc w:val="both"/>
              <w:rPr>
                <w:rFonts w:eastAsiaTheme="minorEastAsia" w:cstheme="minorHAnsi"/>
                <w:b/>
              </w:rPr>
            </w:pPr>
            <w:r w:rsidRPr="007653A1">
              <w:rPr>
                <w:rFonts w:eastAsiaTheme="minorEastAsia" w:cstheme="minorHAnsi"/>
                <w:b/>
              </w:rPr>
              <w:t xml:space="preserve">Professional Experience Information </w:t>
            </w:r>
            <w:r w:rsidRPr="00963B55">
              <w:rPr>
                <w:rFonts w:eastAsiaTheme="minorEastAsia" w:cstheme="minorHAnsi"/>
              </w:rPr>
              <w:t>(Title/Position, Institution/Department)</w:t>
            </w:r>
          </w:p>
          <w:p w:rsidR="007653A1" w:rsidRPr="007653A1" w:rsidP="00CC5D0D">
            <w:pPr>
              <w:jc w:val="both"/>
              <w:rPr>
                <w:rFonts w:cstheme="minorHAnsi"/>
              </w:rPr>
            </w:pPr>
            <w:r w:rsidRPr="007653A1">
              <w:rPr>
                <w:rFonts w:eastAsiaTheme="minorEastAsia" w:cstheme="minorHAnsi"/>
                <w:b/>
              </w:rPr>
              <w:t xml:space="preserve">Contact Information </w:t>
            </w:r>
            <w:r w:rsidRPr="00963B55">
              <w:rPr>
                <w:rFonts w:eastAsiaTheme="minorEastAsia" w:cstheme="minorHAnsi"/>
              </w:rPr>
              <w:t>(Address, Mobile Phone Number, E</w:t>
            </w:r>
            <w:r w:rsidRPr="00963B55">
              <w:rPr>
                <w:rFonts w:ascii="Cambria Math" w:hAnsi="Cambria Math" w:eastAsiaTheme="minorEastAsia" w:cs="Cambria Math"/>
              </w:rPr>
              <w:t>‑</w:t>
            </w:r>
            <w:r w:rsidRPr="00963B55">
              <w:rPr>
                <w:rFonts w:eastAsiaTheme="minorEastAsia" w:cstheme="minorHAnsi"/>
              </w:rPr>
              <w:t>mail</w:t>
            </w:r>
            <w:r w:rsidRPr="007653A1">
              <w:rPr>
                <w:rFonts w:cstheme="minorHAnsi"/>
              </w:rPr>
              <w:t xml:space="preserve"> Address)</w:t>
            </w:r>
          </w:p>
          <w:p w:rsidR="007653A1" w:rsidRPr="007653A1" w:rsidP="00CC5D0D">
            <w:pPr>
              <w:jc w:val="both"/>
              <w:rPr>
                <w:rFonts w:ascii="Calibri" w:hAnsi="Calibri" w:cs="Calibri"/>
              </w:rPr>
            </w:pPr>
            <w:r w:rsidRPr="007653A1">
              <w:rPr>
                <w:rFonts w:cstheme="minorHAnsi"/>
                <w:b/>
              </w:rPr>
              <w:t xml:space="preserve">Financial </w:t>
            </w:r>
            <w:r w:rsidR="004E3E08">
              <w:rPr>
                <w:rFonts w:eastAsiaTheme="minorEastAsia" w:cstheme="minorHAnsi"/>
                <w:b/>
              </w:rPr>
              <w:t>Information</w:t>
            </w:r>
            <w:r w:rsidRPr="007653A1">
              <w:rPr>
                <w:rFonts w:cstheme="minorHAnsi"/>
              </w:rPr>
              <w:t xml:space="preserve"> (Bank Name, Branch, IBAN Number)</w:t>
            </w:r>
          </w:p>
        </w:tc>
      </w:tr>
    </w:tbl>
    <w:p w:rsidR="007653A1" w:rsidRPr="007653A1" w:rsidP="00CC5D0D">
      <w:pPr>
        <w:spacing w:before="240" w:after="200" w:line="276" w:lineRule="auto"/>
        <w:jc w:val="both"/>
        <w:rPr>
          <w:rFonts w:ascii="Calibri" w:eastAsia="MS Mincho" w:hAnsi="Calibri" w:cs="Calibri"/>
          <w:b/>
          <w:lang w:val="en-US"/>
        </w:rPr>
      </w:pPr>
      <w:r w:rsidRPr="007653A1">
        <w:rPr>
          <w:rFonts w:ascii="Calibri" w:eastAsia="MS Mincho" w:hAnsi="Calibri" w:cs="Calibri"/>
          <w:b/>
          <w:lang w:val="en-US"/>
        </w:rPr>
        <w:t>Processing of Personal Data</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verify the identity and contact information of reviewers providing peer</w:t>
      </w:r>
      <w:r w:rsidRPr="007653A1">
        <w:rPr>
          <w:rFonts w:ascii="Cambria Math" w:eastAsia="Calibri" w:hAnsi="Cambria Math" w:cs="Cambria Math"/>
          <w:shd w:val="clear" w:color="auto" w:fill="FFFFFF"/>
          <w:lang w:val="en-US"/>
        </w:rPr>
        <w:t>‑</w:t>
      </w:r>
      <w:r w:rsidRPr="007653A1">
        <w:rPr>
          <w:rFonts w:ascii="Calibri" w:eastAsia="Calibri" w:hAnsi="Calibri" w:cs="Calibri"/>
          <w:shd w:val="clear" w:color="auto" w:fill="FFFFFF"/>
          <w:lang w:val="en-US"/>
        </w:rPr>
        <w:t>review services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execute, plan and manage the peer</w:t>
      </w:r>
      <w:r w:rsidRPr="007653A1">
        <w:rPr>
          <w:rFonts w:ascii="Cambria Math" w:eastAsia="Calibri" w:hAnsi="Cambria Math" w:cs="Cambria Math"/>
          <w:shd w:val="clear" w:color="auto" w:fill="FFFFFF"/>
          <w:lang w:val="en-US"/>
        </w:rPr>
        <w:t>‑</w:t>
      </w:r>
      <w:r w:rsidRPr="007653A1">
        <w:rPr>
          <w:rFonts w:ascii="Calibri" w:eastAsia="Calibri" w:hAnsi="Calibri" w:cs="Calibri"/>
          <w:shd w:val="clear" w:color="auto" w:fill="FFFFFF"/>
          <w:lang w:val="en-US"/>
        </w:rPr>
        <w:t>review activities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record and document the reviewer evaluation processes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87448F">
        <w:rPr>
          <w:rFonts w:ascii="Calibri" w:eastAsia="Calibri" w:hAnsi="Calibri" w:cs="Calibri"/>
          <w:shd w:val="clear" w:color="auto" w:fill="FFFFFF"/>
          <w:lang w:val="en-US"/>
        </w:rPr>
        <w:t>To carry out the calculation, accrual, and payment of reviewer fees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execute financial, fiscal and accounting processes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fulfill legal obligations arising primarily from tax legislation and other relevant legislation</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perform payment transactions and banking procedures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fulfill legal obligations before competent public institutions and authorities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execute audit, internal control and reporting activities</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evaluate the applications, requests and complaints submitted by the data subject</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87448F">
        <w:rPr>
          <w:rFonts w:ascii="Calibri" w:eastAsia="Calibri" w:hAnsi="Calibri" w:cs="Calibri"/>
          <w:shd w:val="clear" w:color="auto" w:fill="FFFFFF"/>
          <w:lang w:val="en-US"/>
        </w:rPr>
        <w:t>To provide information to authorized persons, institutions, and organizations in accordance with applicable legislation</w:t>
      </w:r>
    </w:p>
    <w:p w:rsidR="004E3E08" w:rsidRPr="007653A1" w:rsidP="00CC5D0D">
      <w:pPr>
        <w:numPr>
          <w:ilvl w:val="0"/>
          <w:numId w:val="1"/>
        </w:numPr>
        <w:spacing w:after="0" w:line="276" w:lineRule="auto"/>
        <w:ind w:left="284" w:hanging="284"/>
        <w:jc w:val="both"/>
        <w:rPr>
          <w:rFonts w:ascii="Calibri" w:eastAsia="Calibri" w:hAnsi="Calibri" w:cs="Calibri"/>
          <w:shd w:val="clear" w:color="auto" w:fill="FFFFFF"/>
          <w:lang w:val="en-US"/>
        </w:rPr>
      </w:pPr>
      <w:r w:rsidRPr="007653A1">
        <w:rPr>
          <w:rFonts w:ascii="Calibri" w:eastAsia="Calibri" w:hAnsi="Calibri" w:cs="Calibri"/>
          <w:shd w:val="clear" w:color="auto" w:fill="FFFFFF"/>
          <w:lang w:val="en-US"/>
        </w:rPr>
        <w:t>To use as evidence in possible legal disputes</w:t>
      </w:r>
    </w:p>
    <w:p w:rsidR="007653A1" w:rsidRPr="007653A1" w:rsidP="00CC5D0D">
      <w:pPr>
        <w:spacing w:after="0" w:line="276" w:lineRule="auto"/>
        <w:ind w:left="284"/>
        <w:jc w:val="both"/>
        <w:rPr>
          <w:rFonts w:ascii="Calibri" w:eastAsia="Calibri" w:hAnsi="Calibri" w:cs="Calibri"/>
          <w:shd w:val="clear" w:color="auto" w:fill="FFFFFF"/>
          <w:lang w:val="en-US"/>
        </w:rPr>
      </w:pPr>
    </w:p>
    <w:p w:rsidR="007653A1" w:rsidRPr="007653A1" w:rsidP="00CC5D0D">
      <w:pPr>
        <w:spacing w:after="200" w:line="276" w:lineRule="auto"/>
        <w:jc w:val="both"/>
        <w:rPr>
          <w:rFonts w:ascii="Calibri" w:eastAsia="MS Mincho" w:hAnsi="Calibri" w:cs="Calibri"/>
          <w:b/>
          <w:lang w:val="en-US"/>
        </w:rPr>
      </w:pPr>
      <w:r w:rsidRPr="007653A1">
        <w:rPr>
          <w:rFonts w:ascii="Calibri" w:eastAsia="MS Mincho" w:hAnsi="Calibri" w:cs="Calibri"/>
          <w:b/>
          <w:lang w:val="en-US"/>
        </w:rPr>
        <w:t>Transfer of Your Personal Data</w:t>
      </w:r>
    </w:p>
    <w:p w:rsidR="007653A1" w:rsidRPr="007653A1" w:rsidP="00CC5D0D">
      <w:pPr>
        <w:spacing w:after="0" w:line="276" w:lineRule="auto"/>
        <w:jc w:val="both"/>
        <w:rPr>
          <w:rFonts w:ascii="Calibri" w:eastAsia="MS Mincho" w:hAnsi="Calibri" w:cs="Calibri"/>
          <w:lang w:val="en-US"/>
        </w:rPr>
      </w:pPr>
      <w:r w:rsidRPr="007653A1">
        <w:rPr>
          <w:rFonts w:ascii="Calibri" w:eastAsia="MS Mincho" w:hAnsi="Calibri" w:cs="Calibri"/>
          <w:lang w:val="en-US"/>
        </w:rPr>
        <w:t>As an example of the transfer of personal data, the personal data collected may be stored on a server located within the country for storage purposes, or, in the event that an administrative or criminal investigation is initiated or a lawsuit is filed due to a dispute arising within the scope of educational or academic activities, such data may be transmitted to the relevant public institutions and authorities. Accordingly, upon request and within the purposes and limitations set forth in the legislation, your personal data may be transferred to public institutions foreseen under the law (including but not limited to Ministries and Presidential Boards).</w:t>
      </w:r>
    </w:p>
    <w:p w:rsidR="007653A1" w:rsidRPr="007653A1" w:rsidP="00CC5D0D">
      <w:pPr>
        <w:spacing w:after="200" w:line="276" w:lineRule="auto"/>
        <w:jc w:val="both"/>
        <w:rPr>
          <w:rFonts w:ascii="Calibri" w:eastAsia="MS Mincho" w:hAnsi="Calibri" w:cs="Calibri"/>
          <w:lang w:val="en-US"/>
        </w:rPr>
      </w:pPr>
      <w:r w:rsidRPr="007653A1">
        <w:rPr>
          <w:rFonts w:ascii="Calibri" w:eastAsia="MS Mincho" w:hAnsi="Calibri" w:cs="Calibri"/>
          <w:lang w:val="en-US"/>
        </w:rPr>
        <w:t>Your personal data:</w:t>
      </w:r>
    </w:p>
    <w:p w:rsidR="007653A1" w:rsidRPr="007653A1" w:rsidP="00CC5D0D">
      <w:pPr>
        <w:numPr>
          <w:ilvl w:val="0"/>
          <w:numId w:val="2"/>
        </w:numPr>
        <w:spacing w:before="100" w:beforeAutospacing="1" w:after="100" w:afterAutospacing="1" w:line="240" w:lineRule="auto"/>
        <w:ind w:left="284" w:hanging="284"/>
        <w:jc w:val="both"/>
        <w:rPr>
          <w:rFonts w:ascii="Calibri" w:eastAsia="Times New Roman" w:hAnsi="Calibri" w:cs="Calibri"/>
          <w:lang w:val="en-US" w:eastAsia="tr-TR"/>
        </w:rPr>
      </w:pPr>
      <w:r w:rsidRPr="007653A1">
        <w:rPr>
          <w:rFonts w:ascii="Calibri" w:eastAsia="Times New Roman" w:hAnsi="Calibri" w:cs="Calibri"/>
          <w:bCs/>
          <w:lang w:val="en-US" w:eastAsia="tr-TR"/>
        </w:rPr>
        <w:t>may be transferred for the purposes of resolving legal disputes, conducting or ensuring the follow-up of judicial proceedings, or fulfilling statutory or legal obligations, or, as required by the relevant legislation, to judicial authorities, competent public institutions and organizations, legally authorized private persons, law enforcement authorities, or to our contracted attorneys who conduct our legal processes.</w:t>
      </w:r>
    </w:p>
    <w:p w:rsidR="007653A1" w:rsidRPr="007653A1" w:rsidP="00CC5D0D">
      <w:pPr>
        <w:spacing w:after="200" w:line="276" w:lineRule="auto"/>
        <w:jc w:val="both"/>
        <w:rPr>
          <w:rFonts w:ascii="Calibri" w:eastAsia="MS Mincho" w:hAnsi="Calibri" w:cs="Calibri"/>
          <w:b/>
          <w:lang w:val="en-US"/>
        </w:rPr>
      </w:pPr>
      <w:r>
        <w:rPr>
          <w:rFonts w:ascii="Calibri" w:eastAsia="MS Mincho" w:hAnsi="Calibri" w:cs="Calibri"/>
          <w:b/>
          <w:lang w:val="en-US"/>
        </w:rPr>
        <w:t>Method of Collecting Personal Data and Legal Basis</w:t>
      </w:r>
    </w:p>
    <w:p w:rsidR="007653A1" w:rsidRPr="007653A1" w:rsidP="00CC5D0D">
      <w:pPr>
        <w:spacing w:after="200" w:line="276" w:lineRule="auto"/>
        <w:jc w:val="both"/>
        <w:rPr>
          <w:rFonts w:ascii="Calibri" w:eastAsia="MS Mincho" w:hAnsi="Calibri" w:cs="Calibri"/>
          <w:lang w:val="en-US"/>
        </w:rPr>
      </w:pPr>
      <w:r w:rsidRPr="007653A1">
        <w:rPr>
          <w:rFonts w:ascii="Calibri" w:eastAsia="MS Mincho" w:hAnsi="Calibri" w:cs="Calibri"/>
          <w:lang w:val="en-US"/>
        </w:rPr>
        <w:t>Your personal data are collected through completion and signature of the Reviewer Payment Form by reviewers providing peer</w:t>
      </w:r>
      <w:r w:rsidRPr="007653A1">
        <w:rPr>
          <w:rFonts w:ascii="Cambria Math" w:eastAsia="MS Mincho" w:hAnsi="Cambria Math" w:cs="Cambria Math"/>
          <w:lang w:val="en-US"/>
        </w:rPr>
        <w:t>‑</w:t>
      </w:r>
      <w:r w:rsidRPr="007653A1">
        <w:rPr>
          <w:rFonts w:ascii="Calibri" w:eastAsia="MS Mincho" w:hAnsi="Calibri" w:cs="Calibri"/>
          <w:lang w:val="en-US"/>
        </w:rPr>
        <w:t>review services.</w:t>
      </w:r>
    </w:p>
    <w:p w:rsidR="004E3E08" w:rsidRPr="007653A1" w:rsidP="00CC5D0D">
      <w:pPr>
        <w:spacing w:after="200" w:line="276" w:lineRule="auto"/>
        <w:jc w:val="both"/>
        <w:rPr>
          <w:rFonts w:ascii="Calibri" w:eastAsia="MS Mincho" w:hAnsi="Calibri" w:cs="Calibri"/>
          <w:lang w:val="en-US"/>
        </w:rPr>
      </w:pPr>
      <w:r w:rsidRPr="004E3E08">
        <w:rPr>
          <w:rFonts w:ascii="Calibri" w:eastAsia="MS Mincho" w:hAnsi="Calibri" w:cs="Calibri"/>
          <w:lang w:val="en-US"/>
        </w:rPr>
        <w:t>Personal data will be processed in accordance with the data processing conditions specified in Article 5/2 of the PDPL No. 6698, including: 5/2-a) "If it is clearly envisaged in the laws," 5/2-c) "Necessary for the performance or execution of a contract, provided that it is directly related to the establishment or fulfillment of the contract," 5/2-ç) "Mandatory for the data controller to fulfill its legal obligations," 5/2-e) "Necessary for the establishment, exercise, or protection of a right," and 5/2-f) "Mandatory for the legitimate interests of the data controller, provided that it does not harm the fundamental rights and freedoms of the data subject."</w:t>
      </w:r>
    </w:p>
    <w:p w:rsidR="007653A1" w:rsidRPr="007653A1" w:rsidP="00CC5D0D">
      <w:pPr>
        <w:spacing w:after="200" w:line="276" w:lineRule="auto"/>
        <w:jc w:val="both"/>
        <w:rPr>
          <w:rFonts w:ascii="Calibri" w:eastAsia="MS Mincho" w:hAnsi="Calibri" w:cs="Calibri"/>
          <w:b/>
          <w:lang w:val="en-US"/>
        </w:rPr>
      </w:pPr>
      <w:r w:rsidRPr="004E3E08">
        <w:rPr>
          <w:rFonts w:ascii="Calibri" w:eastAsia="MS Mincho" w:hAnsi="Calibri" w:cs="Calibri"/>
          <w:b/>
          <w:lang w:val="en-US"/>
        </w:rPr>
        <w:t>Rights of the Relevant Person as per Article 11 of PDPL</w:t>
      </w:r>
    </w:p>
    <w:p w:rsidR="007653A1" w:rsidP="00CC5D0D">
      <w:pPr>
        <w:spacing w:before="100" w:beforeAutospacing="1" w:after="100" w:afterAutospacing="1" w:line="240" w:lineRule="auto"/>
        <w:jc w:val="both"/>
        <w:rPr>
          <w:rFonts w:ascii="Calibri" w:eastAsia="MS Mincho" w:hAnsi="Calibri" w:cs="Calibri"/>
          <w:lang w:val="en-US"/>
        </w:rPr>
      </w:pPr>
      <w:r w:rsidRPr="007653A1">
        <w:rPr>
          <w:rFonts w:ascii="Calibri" w:eastAsia="MS Mincho" w:hAnsi="Calibri" w:cs="Calibri"/>
          <w:lang w:val="en-US"/>
        </w:rPr>
        <w:t>As personal data subjects, you may submit your requests regarding your rights to our Institution by choosing any of the application methods specified below, and your request will be evaluated and finalized free of charge as soon as possible and, in any case, within thirty days at the latest depending on the nature of the request. However, if the process requires additional costs, fees may be charged by our University in accordance with the tariff determined by the Personal Data Protection Board. As the data subject whose personal data are processed, you have the rights set out under Article 11 of the Law, including the right to learn whether personal data are processed, request information regarding processing, learn the purpose of processing and whether personal data are used in accordance with such purpose, know the third persons to whom personal data are transferred, request the correction of incomplete or inaccurate processing, and to request deletion or destruction, request that all automated processing be notified to third parties to object to analysis, request compensation for damages.</w:t>
      </w:r>
    </w:p>
    <w:p w:rsidR="00AC5045" w:rsidRPr="00AC5045" w:rsidP="00CC5D0D">
      <w:pPr>
        <w:spacing w:before="100" w:beforeAutospacing="1" w:after="100" w:afterAutospacing="1" w:line="240" w:lineRule="auto"/>
        <w:jc w:val="both"/>
        <w:rPr>
          <w:rFonts w:ascii="Calibri" w:eastAsia="MS Mincho" w:hAnsi="Calibri" w:cs="Calibri"/>
          <w:lang w:val="en-US"/>
        </w:rPr>
      </w:pPr>
      <w:r>
        <w:rPr>
          <w:rFonts w:ascii="Calibri" w:eastAsia="MS Mincho" w:hAnsi="Calibri" w:cs="Calibri"/>
          <w:lang w:val="en-US"/>
        </w:rPr>
        <w:t xml:space="preserve">You can submit your applications regarding your rights listed in Article 11 of the PDPL by providing the necessary identity information and a detailed explanation of your request. To do so, you must complete the PDP Law Relevant Person Application Form, available at </w:t>
      </w:r>
      <w:hyperlink r:id="rId4" w:history="1">
        <w:r w:rsidRPr="007653A1">
          <w:rPr>
            <w:rFonts w:ascii="Calibri" w:eastAsia="Calibri" w:hAnsi="Calibri" w:cs="Calibri"/>
            <w:color w:val="0563C1"/>
            <w:u w:val="single"/>
            <w:shd w:val="clear" w:color="auto" w:fill="FFFFFF"/>
          </w:rPr>
          <w:t>www.gelisim.edu.tr</w:t>
        </w:r>
      </w:hyperlink>
      <w:r w:rsidRPr="00AC5045">
        <w:rPr>
          <w:rFonts w:ascii="Calibri" w:eastAsia="MS Mincho" w:hAnsi="Calibri" w:cs="Calibri"/>
          <w:lang w:val="en-US"/>
        </w:rPr>
        <w:t xml:space="preserve">, and send a signed copy to Istanbul Gelisim University, Cihangir Mahallesi, Şehit Jandarma Komando Er Hakan Öner Sk. No:1, Avcılar / İSTANBUL (Contact Number: +90 422 70 00) in person with identification documents, through a notary public, or via e-mail at </w:t>
      </w:r>
      <w:hyperlink r:id="rId5" w:history="1">
        <w:r w:rsidRPr="007653A1">
          <w:rPr>
            <w:rFonts w:ascii="Calibri" w:eastAsia="MS Mincho" w:hAnsi="Calibri" w:cs="Calibri"/>
            <w:color w:val="0000FF"/>
            <w:u w:val="single"/>
            <w:lang w:val="en-US"/>
          </w:rPr>
          <w:t>kisiselveri@gelisim.edu.tr</w:t>
        </w:r>
      </w:hyperlink>
      <w:r>
        <w:rPr>
          <w:rFonts w:ascii="Calibri" w:eastAsia="MS Mincho" w:hAnsi="Calibri" w:cs="Calibri"/>
          <w:color w:val="0000FF"/>
          <w:u w:val="single"/>
          <w:lang w:val="en-US"/>
        </w:rPr>
        <w:t xml:space="preserve">  </w:t>
      </w:r>
      <w:r w:rsidRPr="00AC5045">
        <w:rPr>
          <w:rFonts w:ascii="Calibri" w:eastAsia="MS Mincho" w:hAnsi="Calibri" w:cs="Calibri"/>
          <w:lang w:val="en-US"/>
        </w:rPr>
        <w:t xml:space="preserve">Alternatively, you can submit the form to </w:t>
      </w:r>
      <w:hyperlink r:id="rId6" w:history="1">
        <w:r w:rsidRPr="00F61420">
          <w:rPr>
            <w:rStyle w:val="Hyperlink"/>
            <w:rFonts w:ascii="Calibri" w:eastAsia="MS Mincho" w:hAnsi="Calibri" w:cs="Calibri"/>
            <w:lang w:val="en-US"/>
          </w:rPr>
          <w:t>gelisimuniversitesi@hs03.kep.tr</w:t>
        </w:r>
      </w:hyperlink>
      <w:r w:rsidRPr="00AC5045">
        <w:rPr>
          <w:rFonts w:ascii="Calibri" w:eastAsia="MS Mincho" w:hAnsi="Calibri" w:cs="Calibri"/>
          <w:lang w:val="en-US"/>
        </w:rPr>
        <w:t xml:space="preserve">  via registered e-mail (KEP) with a secure electronic signature or use other methods specified in the PDPL. For further inquiries, you may contact (212) 422 70 00. For more information about the application method, methods and the content of the application, you can review the text "Exercise of the Rights of the Relevant Person in accordance with the PDP Law" on our website </w:t>
      </w:r>
      <w:hyperlink r:id="rId7" w:history="1">
        <w:r w:rsidRPr="00F61420">
          <w:rPr>
            <w:rStyle w:val="Hyperlink"/>
            <w:rFonts w:ascii="Calibri" w:eastAsia="MS Mincho" w:hAnsi="Calibri" w:cs="Calibri"/>
            <w:lang w:val="en-US"/>
          </w:rPr>
          <w:t>www.gelisim.edu.tr</w:t>
        </w:r>
      </w:hyperlink>
      <w:r>
        <w:rPr>
          <w:rFonts w:ascii="Calibri" w:eastAsia="MS Mincho" w:hAnsi="Calibri" w:cs="Calibri"/>
          <w:lang w:val="en-US"/>
        </w:rPr>
        <w:t xml:space="preserve"> .</w:t>
      </w:r>
    </w:p>
    <w:p w:rsidR="00AC5045" w:rsidRPr="007653A1" w:rsidP="00CC5D0D">
      <w:pPr>
        <w:spacing w:before="100" w:beforeAutospacing="1" w:after="100" w:afterAutospacing="1" w:line="240" w:lineRule="auto"/>
        <w:jc w:val="both"/>
        <w:rPr>
          <w:rFonts w:ascii="Calibri" w:eastAsia="MS Mincho" w:hAnsi="Calibri" w:cs="Calibri"/>
          <w:lang w:val="en-US"/>
        </w:rPr>
      </w:pPr>
      <w:r w:rsidRPr="00AC5045">
        <w:rPr>
          <w:rFonts w:ascii="Calibri" w:eastAsia="MS Mincho" w:hAnsi="Calibri" w:cs="Calibri"/>
          <w:lang w:val="en-US"/>
        </w:rPr>
        <w:t>We hereby notify you in the capacity of "Data Controller" under PDPL.</w:t>
      </w:r>
    </w:p>
    <w:p w:rsidR="007653A1" w:rsidRPr="007653A1" w:rsidP="00CC5D0D">
      <w:pPr>
        <w:spacing w:after="200" w:line="276" w:lineRule="auto"/>
        <w:jc w:val="both"/>
        <w:rPr>
          <w:rFonts w:ascii="Calibri" w:eastAsia="MS Mincho" w:hAnsi="Calibri" w:cs="Calibri"/>
          <w:lang w:val="en-US"/>
        </w:rPr>
      </w:pPr>
      <w:r w:rsidRPr="007653A1">
        <w:rPr>
          <w:rFonts w:ascii="Calibri" w:eastAsia="MS Mincho" w:hAnsi="Calibri" w:cs="Calibri"/>
          <w:lang w:val="en-US"/>
        </w:rPr>
        <w:t>Sincerely,</w:t>
      </w:r>
    </w:p>
    <w:p w:rsidR="007653A1" w:rsidRPr="007653A1" w:rsidP="00CC5D0D">
      <w:pPr>
        <w:spacing w:after="200" w:line="276" w:lineRule="auto"/>
        <w:jc w:val="both"/>
        <w:rPr>
          <w:rFonts w:ascii="Calibri" w:eastAsia="MS Mincho" w:hAnsi="Calibri" w:cs="Calibri"/>
          <w:lang w:val="en-US"/>
        </w:rPr>
      </w:pPr>
    </w:p>
    <w:p w:rsidR="007653A1" w:rsidRPr="007653A1" w:rsidP="00CC5D0D">
      <w:pPr>
        <w:spacing w:after="200" w:line="276" w:lineRule="auto"/>
        <w:jc w:val="both"/>
        <w:rPr>
          <w:rFonts w:ascii="Calibri" w:eastAsia="MS Mincho" w:hAnsi="Calibri" w:cs="Calibri"/>
          <w:b/>
          <w:lang w:val="en-US"/>
        </w:rPr>
      </w:pPr>
      <w:r w:rsidRPr="007653A1">
        <w:rPr>
          <w:rFonts w:ascii="Calibri" w:eastAsia="MS Mincho" w:hAnsi="Calibri" w:cs="Calibri"/>
          <w:b/>
          <w:lang w:val="en-US"/>
        </w:rPr>
        <w:t>Istanbul Gelisim University</w:t>
      </w:r>
    </w:p>
    <w:tbl>
      <w:tblPr>
        <w:tblW w:w="10282" w:type="dxa"/>
        <w:tblInd w:w="108" w:type="dxa"/>
        <w:tblLayout w:type="fixed"/>
        <w:tblLook w:val="04A0"/>
      </w:tblPr>
      <w:tblGrid>
        <w:gridCol w:w="2065"/>
        <w:gridCol w:w="443"/>
        <w:gridCol w:w="7774"/>
      </w:tblGrid>
      <w:tr w:rsidTr="00AC5045">
        <w:tblPrEx>
          <w:tblW w:w="10282" w:type="dxa"/>
          <w:tblInd w:w="108" w:type="dxa"/>
          <w:tblLayout w:type="fixed"/>
          <w:tblLook w:val="04A0"/>
        </w:tblPrEx>
        <w:trPr>
          <w:trHeight w:val="434"/>
        </w:trPr>
        <w:tc>
          <w:tcPr>
            <w:tcW w:w="10282" w:type="dxa"/>
            <w:gridSpan w:val="3"/>
            <w:tcBorders>
              <w:bottom w:val="single" w:sz="4" w:space="0" w:color="auto"/>
            </w:tcBorders>
          </w:tcPr>
          <w:p w:rsidR="007653A1" w:rsidRPr="007653A1" w:rsidP="00CC5D0D">
            <w:pPr>
              <w:spacing w:after="200" w:line="276" w:lineRule="auto"/>
              <w:jc w:val="both"/>
              <w:rPr>
                <w:rFonts w:ascii="Calibri" w:eastAsia="MS Mincho" w:hAnsi="Calibri" w:cs="Calibri"/>
                <w:b/>
                <w:bCs/>
              </w:rPr>
            </w:pPr>
            <w:r w:rsidRPr="007653A1">
              <w:rPr>
                <w:rFonts w:ascii="Calibri" w:eastAsia="MS Mincho" w:hAnsi="Calibri" w:cs="Calibri"/>
                <w:b/>
                <w:bCs/>
              </w:rPr>
              <w:t>Data Subject</w:t>
            </w:r>
          </w:p>
        </w:tc>
      </w:tr>
      <w:tr w:rsidTr="00AC5045">
        <w:tblPrEx>
          <w:tblW w:w="10282" w:type="dxa"/>
          <w:tblInd w:w="108" w:type="dxa"/>
          <w:tblLayout w:type="fixed"/>
          <w:tblLook w:val="04A0"/>
        </w:tblPrEx>
        <w:trPr>
          <w:trHeight w:val="461"/>
        </w:trPr>
        <w:tc>
          <w:tcPr>
            <w:tcW w:w="2065" w:type="dxa"/>
            <w:tcBorders>
              <w:top w:val="single" w:sz="4" w:space="0" w:color="auto"/>
            </w:tcBorders>
          </w:tcPr>
          <w:p w:rsidR="007653A1" w:rsidRPr="007653A1" w:rsidP="00CC5D0D">
            <w:pPr>
              <w:spacing w:after="200" w:line="276" w:lineRule="auto"/>
              <w:jc w:val="both"/>
              <w:rPr>
                <w:rFonts w:ascii="Calibri" w:eastAsia="MS Mincho" w:hAnsi="Calibri" w:cs="Calibri"/>
                <w:b/>
                <w:bCs/>
              </w:rPr>
            </w:pPr>
            <w:r w:rsidRPr="007653A1">
              <w:rPr>
                <w:rFonts w:ascii="Calibri" w:eastAsia="MS Mincho" w:hAnsi="Calibri" w:cs="Calibri"/>
              </w:rPr>
              <w:t>Name Surname</w:t>
            </w:r>
          </w:p>
        </w:tc>
        <w:tc>
          <w:tcPr>
            <w:tcW w:w="443" w:type="dxa"/>
            <w:tcBorders>
              <w:top w:val="single" w:sz="4" w:space="0" w:color="auto"/>
            </w:tcBorders>
          </w:tcPr>
          <w:p w:rsidR="007653A1" w:rsidRPr="007653A1" w:rsidP="00CC5D0D">
            <w:pPr>
              <w:spacing w:after="200" w:line="276" w:lineRule="auto"/>
              <w:jc w:val="both"/>
              <w:rPr>
                <w:rFonts w:ascii="Calibri" w:eastAsia="MS Mincho" w:hAnsi="Calibri" w:cs="Calibri"/>
                <w:b/>
                <w:bCs/>
              </w:rPr>
            </w:pPr>
            <w:r w:rsidRPr="007653A1">
              <w:rPr>
                <w:rFonts w:ascii="Calibri" w:eastAsia="MS Mincho" w:hAnsi="Calibri" w:cs="Calibri"/>
                <w:b/>
                <w:bCs/>
              </w:rPr>
              <w:t>:</w:t>
            </w:r>
          </w:p>
        </w:tc>
        <w:tc>
          <w:tcPr>
            <w:tcW w:w="7773" w:type="dxa"/>
            <w:tcBorders>
              <w:top w:val="single" w:sz="4" w:space="0" w:color="auto"/>
            </w:tcBorders>
          </w:tcPr>
          <w:p w:rsidR="007653A1" w:rsidRPr="007653A1" w:rsidP="00CC5D0D">
            <w:pPr>
              <w:spacing w:after="200" w:line="276" w:lineRule="auto"/>
              <w:jc w:val="both"/>
              <w:rPr>
                <w:rFonts w:ascii="Calibri" w:eastAsia="MS Mincho" w:hAnsi="Calibri" w:cs="Calibri"/>
                <w:b/>
                <w:bCs/>
              </w:rPr>
            </w:pPr>
          </w:p>
        </w:tc>
      </w:tr>
      <w:tr w:rsidTr="00AC5045">
        <w:tblPrEx>
          <w:tblW w:w="10282" w:type="dxa"/>
          <w:tblInd w:w="108" w:type="dxa"/>
          <w:tblLayout w:type="fixed"/>
          <w:tblLook w:val="04A0"/>
        </w:tblPrEx>
        <w:trPr>
          <w:trHeight w:val="461"/>
        </w:trPr>
        <w:tc>
          <w:tcPr>
            <w:tcW w:w="2065" w:type="dxa"/>
          </w:tcPr>
          <w:p w:rsidR="007653A1" w:rsidRPr="007653A1" w:rsidP="00CC5D0D">
            <w:pPr>
              <w:spacing w:after="200" w:line="276" w:lineRule="auto"/>
              <w:jc w:val="both"/>
              <w:rPr>
                <w:rFonts w:ascii="Calibri" w:eastAsia="MS Mincho" w:hAnsi="Calibri" w:cs="Calibri"/>
              </w:rPr>
            </w:pPr>
            <w:r w:rsidRPr="007653A1">
              <w:rPr>
                <w:rFonts w:ascii="Calibri" w:eastAsia="MS Mincho" w:hAnsi="Calibri" w:cs="Calibri"/>
              </w:rPr>
              <w:t>Date</w:t>
            </w:r>
          </w:p>
        </w:tc>
        <w:tc>
          <w:tcPr>
            <w:tcW w:w="443" w:type="dxa"/>
          </w:tcPr>
          <w:p w:rsidR="007653A1" w:rsidRPr="007653A1" w:rsidP="00CC5D0D">
            <w:pPr>
              <w:spacing w:after="200" w:line="276" w:lineRule="auto"/>
              <w:jc w:val="both"/>
              <w:rPr>
                <w:rFonts w:ascii="Calibri" w:eastAsia="MS Mincho" w:hAnsi="Calibri" w:cs="Calibri"/>
                <w:b/>
                <w:bCs/>
              </w:rPr>
            </w:pPr>
            <w:r w:rsidRPr="007653A1">
              <w:rPr>
                <w:rFonts w:ascii="Calibri" w:eastAsia="MS Mincho" w:hAnsi="Calibri" w:cs="Calibri"/>
                <w:b/>
                <w:bCs/>
              </w:rPr>
              <w:t>:</w:t>
            </w:r>
          </w:p>
        </w:tc>
        <w:tc>
          <w:tcPr>
            <w:tcW w:w="7773" w:type="dxa"/>
          </w:tcPr>
          <w:p w:rsidR="007653A1" w:rsidRPr="007653A1" w:rsidP="00CC5D0D">
            <w:pPr>
              <w:spacing w:after="200" w:line="276" w:lineRule="auto"/>
              <w:jc w:val="both"/>
              <w:rPr>
                <w:rFonts w:ascii="Calibri" w:eastAsia="MS Mincho" w:hAnsi="Calibri" w:cs="Calibri"/>
                <w:b/>
                <w:bCs/>
              </w:rPr>
            </w:pPr>
          </w:p>
        </w:tc>
      </w:tr>
      <w:tr w:rsidTr="00AC5045">
        <w:tblPrEx>
          <w:tblW w:w="10282" w:type="dxa"/>
          <w:tblInd w:w="108" w:type="dxa"/>
          <w:tblLayout w:type="fixed"/>
          <w:tblLook w:val="04A0"/>
        </w:tblPrEx>
        <w:trPr>
          <w:trHeight w:val="480"/>
        </w:trPr>
        <w:tc>
          <w:tcPr>
            <w:tcW w:w="2065" w:type="dxa"/>
          </w:tcPr>
          <w:p w:rsidR="007653A1" w:rsidRPr="007653A1" w:rsidP="00CC5D0D">
            <w:pPr>
              <w:spacing w:after="200" w:line="276" w:lineRule="auto"/>
              <w:jc w:val="both"/>
              <w:rPr>
                <w:rFonts w:ascii="Calibri" w:eastAsia="MS Mincho" w:hAnsi="Calibri" w:cs="Calibri"/>
              </w:rPr>
            </w:pPr>
            <w:r w:rsidRPr="007653A1">
              <w:rPr>
                <w:rFonts w:ascii="Calibri" w:eastAsia="MS Mincho" w:hAnsi="Calibri" w:cs="Calibri"/>
              </w:rPr>
              <w:t>Signature</w:t>
            </w:r>
          </w:p>
        </w:tc>
        <w:tc>
          <w:tcPr>
            <w:tcW w:w="443" w:type="dxa"/>
          </w:tcPr>
          <w:p w:rsidR="007653A1" w:rsidRPr="007653A1" w:rsidP="00CC5D0D">
            <w:pPr>
              <w:spacing w:after="200" w:line="276" w:lineRule="auto"/>
              <w:jc w:val="both"/>
              <w:rPr>
                <w:rFonts w:ascii="Calibri" w:eastAsia="MS Mincho" w:hAnsi="Calibri" w:cs="Calibri"/>
                <w:b/>
                <w:bCs/>
              </w:rPr>
            </w:pPr>
            <w:r w:rsidRPr="007653A1">
              <w:rPr>
                <w:rFonts w:ascii="Calibri" w:eastAsia="MS Mincho" w:hAnsi="Calibri" w:cs="Calibri"/>
                <w:b/>
                <w:bCs/>
              </w:rPr>
              <w:t>:</w:t>
            </w:r>
          </w:p>
        </w:tc>
        <w:tc>
          <w:tcPr>
            <w:tcW w:w="7773" w:type="dxa"/>
          </w:tcPr>
          <w:p w:rsidR="007653A1" w:rsidRPr="007653A1" w:rsidP="00CC5D0D">
            <w:pPr>
              <w:spacing w:after="200" w:line="276" w:lineRule="auto"/>
              <w:jc w:val="both"/>
              <w:rPr>
                <w:rFonts w:ascii="Calibri" w:eastAsia="MS Mincho" w:hAnsi="Calibri" w:cs="Calibri"/>
                <w:b/>
                <w:bCs/>
              </w:rPr>
            </w:pPr>
          </w:p>
        </w:tc>
      </w:tr>
    </w:tbl>
    <w:p w:rsidR="007653A1" w:rsidRPr="007653A1" w:rsidP="00CC5D0D">
      <w:pPr>
        <w:spacing w:after="200" w:line="276" w:lineRule="auto"/>
        <w:jc w:val="both"/>
        <w:rPr>
          <w:rFonts w:ascii="Calibri" w:eastAsia="MS Mincho" w:hAnsi="Calibri" w:cs="Calibri"/>
          <w:lang w:val="en-US"/>
        </w:rPr>
      </w:pPr>
    </w:p>
    <w:p w:rsidR="00917A7B" w:rsidP="00CC5D0D">
      <w:pPr>
        <w:jc w:val="both"/>
      </w:pPr>
    </w:p>
    <w:sectPr w:rsidSect="00CC5D0D">
      <w:headerReference w:type="even" r:id="rId8"/>
      <w:headerReference w:type="default" r:id="rId9"/>
      <w:footerReference w:type="even" r:id="rId10"/>
      <w:footerReference w:type="default" r:id="rId11"/>
      <w:headerReference w:type="first" r:id="rId12"/>
      <w:footerReference w:type="first" r:id="rId13"/>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5045" w:rsidRPr="007653A1" w:rsidP="00E06B9A">
    <w:pPr>
      <w:pStyle w:val="Footer"/>
      <w:rPr>
        <w:rFonts w:ascii="Calibri" w:hAnsi="Calibri" w:cs="Calibri"/>
      </w:rPr>
    </w:pPr>
  </w:p>
  <w:p w:rsidR="00AC5045" w:rsidRPr="00D72780" w:rsidP="00D72780">
    <w:pPr>
      <w:pStyle w:val="Footer"/>
      <w:jc w:val="both"/>
      <w:rPr>
        <w:rFonts w:ascii="Times New Roman" w:hAnsi="Times New Roman" w:cs="Times New Roman"/>
      </w:rPr>
    </w:pPr>
    <w:r w:rsidR="00D72780">
      <w:rPr>
        <w:rFonts w:ascii="Times New Roman" w:eastAsia="Calibri" w:hAnsi="Times New Roman" w:cs="Times New Roman"/>
        <w:i/>
        <w:sz w:val="16"/>
        <w:szCs w:val="16"/>
      </w:rPr>
      <w:t>FS.KVKK-AYM.011</w:t>
    </w:r>
    <w:r w:rsidR="00D72780">
      <w:rPr>
        <w:rFonts w:ascii="Times New Roman" w:eastAsia="Calibri" w:hAnsi="Times New Roman" w:cs="Times New Roman"/>
        <w:i/>
        <w:sz w:val="16"/>
        <w:szCs w:val="16"/>
      </w:rPr>
      <w:t xml:space="preserve">      </w:t>
    </w:r>
    <w:bookmarkStart w:id="0" w:name="_GoBack"/>
    <w:bookmarkEnd w:id="0"/>
    <w:r w:rsidRPr="00D72780">
      <w:rPr>
        <w:rFonts w:ascii="Times New Roman" w:eastAsia="Calibri" w:hAnsi="Times New Roman" w:cs="Times New Roman"/>
        <w:i/>
        <w:sz w:val="16"/>
        <w:szCs w:val="16"/>
      </w:rPr>
      <w:t xml:space="preserve">Publishing Date: </w:t>
    </w:r>
    <w:r w:rsidRPr="00D72780">
      <w:rPr>
        <w:rFonts w:ascii="Times New Roman" w:eastAsia="Calibri" w:hAnsi="Times New Roman" w:cs="Times New Roman"/>
        <w:i/>
        <w:sz w:val="16"/>
        <w:szCs w:val="16"/>
      </w:rPr>
      <w:t>23.01.2026</w:t>
    </w:r>
    <w:r w:rsidRPr="00D72780">
      <w:rPr>
        <w:rFonts w:ascii="Times New Roman" w:eastAsia="Calibri" w:hAnsi="Times New Roman" w:cs="Times New Roman"/>
        <w:i/>
        <w:sz w:val="16"/>
        <w:szCs w:val="16"/>
      </w:rPr>
      <w:t xml:space="preserve">               </w:t>
    </w:r>
    <w:r w:rsidRPr="00D72780">
      <w:rPr>
        <w:rFonts w:ascii="Times New Roman" w:hAnsi="Times New Roman" w:cs="Times New Roman"/>
        <w:i/>
        <w:sz w:val="16"/>
        <w:szCs w:val="16"/>
      </w:rPr>
      <w:t xml:space="preserve">  </w:t>
    </w:r>
    <w:r w:rsidRPr="00D72780">
      <w:rPr>
        <w:rFonts w:ascii="Times New Roman" w:eastAsia="Calibri" w:hAnsi="Times New Roman" w:cs="Times New Roman"/>
        <w:i/>
        <w:sz w:val="16"/>
        <w:szCs w:val="16"/>
      </w:rPr>
      <w:t xml:space="preserve"> Revision Date:      </w:t>
      <w:tab/>
      <w:t xml:space="preserve">                  Revision Number: </w:t>
    </w:r>
    <w:r w:rsidRPr="00D72780">
      <w:rPr>
        <w:rFonts w:ascii="Times New Roman" w:eastAsia="Calibri" w:hAnsi="Times New Roman" w:cs="Times New Roman"/>
        <w:i/>
        <w:sz w:val="16"/>
        <w:szCs w:val="16"/>
      </w:rPr>
      <w:t>0</w:t>
    </w:r>
    <w:r w:rsidRPr="00D72780">
      <w:rPr>
        <w:rFonts w:ascii="Times New Roman" w:eastAsia="Calibri" w:hAnsi="Times New Roman" w:cs="Times New Roman"/>
        <w:i/>
        <w:sz w:val="16"/>
        <w:szCs w:val="16"/>
      </w:rPr>
      <w:t xml:space="preserve">                             </w:t>
    </w:r>
    <w:r w:rsidRPr="00D72780">
      <w:rPr>
        <w:rFonts w:ascii="Times New Roman" w:eastAsia="Calibri" w:hAnsi="Times New Roman" w:cs="Times New Roman"/>
        <w:i/>
        <w:sz w:val="16"/>
        <w:szCs w:val="16"/>
      </w:rPr>
      <w:fldChar w:fldCharType="begin"/>
    </w:r>
    <w:r w:rsidRPr="00D72780">
      <w:rPr>
        <w:rFonts w:ascii="Times New Roman" w:eastAsia="Calibri" w:hAnsi="Times New Roman" w:cs="Times New Roman"/>
        <w:i/>
        <w:sz w:val="16"/>
        <w:szCs w:val="16"/>
      </w:rPr>
      <w:instrText>PAGE</w:instrText>
    </w:r>
    <w:r w:rsidRPr="00D72780">
      <w:rPr>
        <w:rFonts w:ascii="Times New Roman" w:eastAsia="Calibri" w:hAnsi="Times New Roman" w:cs="Times New Roman"/>
        <w:i/>
        <w:sz w:val="16"/>
        <w:szCs w:val="16"/>
      </w:rPr>
      <w:fldChar w:fldCharType="separate"/>
    </w:r>
    <w:r w:rsidR="00D72780">
      <w:rPr>
        <w:rFonts w:ascii="Times New Roman" w:eastAsia="Calibri" w:hAnsi="Times New Roman" w:cs="Times New Roman"/>
        <w:i/>
        <w:noProof/>
        <w:sz w:val="16"/>
        <w:szCs w:val="16"/>
      </w:rPr>
      <w:t>1</w:t>
    </w:r>
    <w:r w:rsidRPr="00D72780">
      <w:rPr>
        <w:rFonts w:ascii="Times New Roman" w:eastAsia="Calibri" w:hAnsi="Times New Roman" w:cs="Times New Roman"/>
        <w:i/>
        <w:sz w:val="16"/>
        <w:szCs w:val="16"/>
      </w:rPr>
      <w:fldChar w:fldCharType="end"/>
    </w:r>
    <w:r w:rsidRPr="00D72780">
      <w:rPr>
        <w:rFonts w:ascii="Times New Roman" w:eastAsia="Calibri" w:hAnsi="Times New Roman" w:cs="Times New Roman"/>
        <w:i/>
        <w:sz w:val="16"/>
        <w:szCs w:val="16"/>
      </w:rPr>
      <w:t xml:space="preserve">/ </w:t>
    </w:r>
    <w:r w:rsidRPr="00D72780">
      <w:rPr>
        <w:rFonts w:ascii="Times New Roman" w:eastAsia="Calibri" w:hAnsi="Times New Roman" w:cs="Times New Roman"/>
        <w:i/>
        <w:sz w:val="16"/>
        <w:szCs w:val="16"/>
      </w:rPr>
      <w:fldChar w:fldCharType="begin"/>
    </w:r>
    <w:r w:rsidRPr="00D72780">
      <w:rPr>
        <w:rFonts w:ascii="Times New Roman" w:eastAsia="Calibri" w:hAnsi="Times New Roman" w:cs="Times New Roman"/>
        <w:i/>
        <w:sz w:val="16"/>
        <w:szCs w:val="16"/>
      </w:rPr>
      <w:instrText>NUMPAGES</w:instrText>
    </w:r>
    <w:r w:rsidRPr="00D72780">
      <w:rPr>
        <w:rFonts w:ascii="Times New Roman" w:eastAsia="Calibri" w:hAnsi="Times New Roman" w:cs="Times New Roman"/>
        <w:i/>
        <w:sz w:val="16"/>
        <w:szCs w:val="16"/>
      </w:rPr>
      <w:fldChar w:fldCharType="separate"/>
    </w:r>
    <w:r w:rsidR="00D72780">
      <w:rPr>
        <w:rFonts w:ascii="Times New Roman" w:eastAsia="Calibri" w:hAnsi="Times New Roman" w:cs="Times New Roman"/>
        <w:i/>
        <w:noProof/>
        <w:sz w:val="16"/>
        <w:szCs w:val="16"/>
      </w:rPr>
      <w:t>3</w:t>
    </w:r>
    <w:r w:rsidRPr="00D72780">
      <w:rPr>
        <w:rFonts w:ascii="Times New Roman" w:eastAsia="Calibri" w:hAnsi="Times New Roman" w:cs="Times New Roman"/>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78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5D0D" w:rsidP="00CC5D0D">
    <w:pPr>
      <w:tabs>
        <w:tab w:val="center" w:pos="4536"/>
        <w:tab w:val="right" w:pos="9072"/>
      </w:tabs>
      <w:spacing w:after="0" w:line="240" w:lineRule="auto"/>
      <w:ind w:hanging="284"/>
      <w:jc w:val="center"/>
      <w:rPr>
        <w:rFonts w:ascii="Calibri" w:eastAsia="Calibri" w:hAnsi="Calibri" w:cs="Times New Roman"/>
        <w:b/>
        <w:bCs/>
        <w:sz w:val="32"/>
        <w:szCs w:val="32"/>
      </w:rPr>
    </w:pPr>
    <w:r>
      <w:rPr>
        <w:noProof/>
        <w:lang w:eastAsia="tr-TR"/>
      </w:rPr>
      <w:drawing>
        <wp:anchor distT="0" distB="0" distL="114300" distR="114300" simplePos="0" relativeHeight="251658240" behindDoc="1" locked="0" layoutInCell="1" allowOverlap="1">
          <wp:simplePos x="0" y="0"/>
          <wp:positionH relativeFrom="column">
            <wp:posOffset>-365125</wp:posOffset>
          </wp:positionH>
          <wp:positionV relativeFrom="paragraph">
            <wp:posOffset>-350520</wp:posOffset>
          </wp:positionV>
          <wp:extent cx="1051560" cy="10001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51560" cy="1000125"/>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bCs/>
        <w:sz w:val="32"/>
        <w:szCs w:val="32"/>
      </w:rPr>
      <w:t>REPUBLIC OF TURKEY</w:t>
    </w:r>
  </w:p>
  <w:p w:rsidR="00CC5D0D" w:rsidP="00CC5D0D">
    <w:pPr>
      <w:tabs>
        <w:tab w:val="center" w:pos="4536"/>
        <w:tab w:val="right" w:pos="9072"/>
      </w:tabs>
      <w:spacing w:after="0" w:line="240" w:lineRule="auto"/>
      <w:ind w:hanging="284"/>
      <w:jc w:val="center"/>
      <w:rPr>
        <w:rFonts w:ascii="Calibri" w:eastAsia="Calibri" w:hAnsi="Calibri" w:cs="Times New Roman"/>
        <w:b/>
        <w:bCs/>
        <w:sz w:val="32"/>
        <w:szCs w:val="32"/>
      </w:rPr>
    </w:pPr>
    <w:r>
      <w:rPr>
        <w:rFonts w:ascii="Calibri" w:eastAsia="Calibri" w:hAnsi="Calibri" w:cs="Times New Roman"/>
        <w:b/>
        <w:bCs/>
        <w:sz w:val="32"/>
        <w:szCs w:val="32"/>
      </w:rPr>
      <w:t>ISTANBUL GELISIM UNIVERSITY RECTORATE</w:t>
    </w:r>
  </w:p>
  <w:p w:rsidR="00AC5045" w:rsidRPr="00796A36" w:rsidP="00CC5D0D">
    <w:pPr>
      <w:tabs>
        <w:tab w:val="center" w:pos="4536"/>
        <w:tab w:val="right" w:pos="9072"/>
      </w:tabs>
      <w:spacing w:after="0" w:line="240" w:lineRule="auto"/>
      <w:ind w:hanging="284"/>
      <w:jc w:val="center"/>
      <w:rPr>
        <w:rFonts w:ascii="Calibri" w:eastAsia="Calibri" w:hAnsi="Calibri" w:cs="Times New Roman"/>
        <w:b/>
        <w:bCs/>
        <w:sz w:val="32"/>
        <w:szCs w:val="32"/>
      </w:rPr>
    </w:pPr>
    <w:r>
      <w:rPr>
        <w:rFonts w:ascii="Calibri" w:eastAsia="Calibri" w:hAnsi="Calibri" w:cs="Times New Roman"/>
        <w:b/>
        <w:bCs/>
        <w:sz w:val="32"/>
        <w:szCs w:val="32"/>
      </w:rPr>
      <w:t>SCIENTIFIC JOURNALS COORDINATORSHIP</w:t>
    </w:r>
  </w:p>
  <w:p w:rsidR="00AC5045" w:rsidRPr="00796A36" w:rsidP="00CC5D0D">
    <w:pPr>
      <w:tabs>
        <w:tab w:val="center" w:pos="4536"/>
        <w:tab w:val="right" w:pos="9072"/>
      </w:tabs>
      <w:spacing w:after="0" w:line="240" w:lineRule="auto"/>
      <w:ind w:hanging="284"/>
      <w:jc w:val="center"/>
      <w:rPr>
        <w:rFonts w:ascii="Calibri" w:eastAsia="Calibri" w:hAnsi="Calibri" w:cs="Times New Roman"/>
        <w:b/>
        <w:sz w:val="32"/>
        <w:szCs w:val="32"/>
      </w:rPr>
    </w:pPr>
    <w:r>
      <w:rPr>
        <w:rFonts w:ascii="Calibri" w:eastAsia="Calibri" w:hAnsi="Calibri" w:cs="Times New Roman"/>
        <w:b/>
        <w:bCs/>
        <w:sz w:val="32"/>
        <w:szCs w:val="32"/>
      </w:rPr>
      <w:t>CLARIFICATION TEXT FOR REVIEWERS</w:t>
    </w:r>
  </w:p>
  <w:p w:rsidR="00AC5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05E2FFC"/>
    <w:multiLevelType w:val="hybridMultilevel"/>
    <w:tmpl w:val="138C4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7D161B57"/>
    <w:multiLevelType w:val="hybridMultilevel"/>
    <w:tmpl w:val="1E6C9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3"/>
    <w:rsid w:val="001C3BCB"/>
    <w:rsid w:val="004E3E08"/>
    <w:rsid w:val="007653A1"/>
    <w:rsid w:val="00796A36"/>
    <w:rsid w:val="0087448F"/>
    <w:rsid w:val="00917A7B"/>
    <w:rsid w:val="00936DC9"/>
    <w:rsid w:val="00963B55"/>
    <w:rsid w:val="009E65C0"/>
    <w:rsid w:val="00A06895"/>
    <w:rsid w:val="00A228CE"/>
    <w:rsid w:val="00AC5045"/>
    <w:rsid w:val="00C1291B"/>
    <w:rsid w:val="00C463E1"/>
    <w:rsid w:val="00CC5D0D"/>
    <w:rsid w:val="00D72780"/>
    <w:rsid w:val="00D805C3"/>
    <w:rsid w:val="00E06B9A"/>
    <w:rsid w:val="00F6142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0D89D75"/>
  <w15:chartTrackingRefBased/>
  <w15:docId w15:val="{7E86B618-C56E-40F1-AADA-008C4B57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7653A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7653A1"/>
  </w:style>
  <w:style w:type="paragraph" w:styleId="Footer">
    <w:name w:val="footer"/>
    <w:basedOn w:val="Normal"/>
    <w:link w:val="AltBilgiChar"/>
    <w:uiPriority w:val="99"/>
    <w:unhideWhenUsed/>
    <w:rsid w:val="007653A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7653A1"/>
  </w:style>
  <w:style w:type="table" w:customStyle="1" w:styleId="TabloKlavuzu1">
    <w:name w:val="Tablo Kılavuzu1"/>
    <w:basedOn w:val="TableNormal"/>
    <w:next w:val="TableGrid"/>
    <w:uiPriority w:val="59"/>
    <w:rsid w:val="007653A1"/>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5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elisim.edu.tr" TargetMode="External" /><Relationship Id="rId5" Type="http://schemas.openxmlformats.org/officeDocument/2006/relationships/hyperlink" Target="mailto:kisiselveri@gelisim.edu.tr" TargetMode="External" /><Relationship Id="rId6" Type="http://schemas.openxmlformats.org/officeDocument/2006/relationships/hyperlink" Target="mailto:gelisimuniversitesi@hs03.kep.tr" TargetMode="External" /><Relationship Id="rId7" Type="http://schemas.openxmlformats.org/officeDocument/2006/relationships/hyperlink" Target="http://www.gelisim.edu.tr"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970</Words>
  <Characters>5532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mkaramanlioglu</dc:creator>
  <cp:lastModifiedBy>meyildiz</cp:lastModifiedBy>
  <cp:revision>4</cp:revision>
  <dcterms:created xsi:type="dcterms:W3CDTF">2026-01-23T06:52:00Z</dcterms:created>
  <dcterms:modified xsi:type="dcterms:W3CDTF">2026-02-06T08:59:00Z</dcterms:modified>
</cp:coreProperties>
</file>