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156E" w14:textId="77777777" w:rsidR="000A441B" w:rsidRPr="00B57E20" w:rsidRDefault="00000000">
      <w:pPr>
        <w:pStyle w:val="Balk1"/>
        <w:rPr>
          <w:rFonts w:cstheme="majorHAnsi"/>
          <w:color w:val="auto"/>
        </w:rPr>
      </w:pPr>
      <w:bookmarkStart w:id="0" w:name="X40f2afd1c7c630f1fcc6d446add95788c74ee8d"/>
      <w:r w:rsidRPr="00B57E20">
        <w:rPr>
          <w:rFonts w:cstheme="majorHAnsi"/>
          <w:color w:val="auto"/>
        </w:rPr>
        <w:t>AB–ABD Ticaret Anlaşması ve Türkiye Gümrük Birliği’nin İkilemi: Masada Olmayan Ülkenin Bedeli</w:t>
      </w:r>
    </w:p>
    <w:p w14:paraId="169D156F" w14:textId="64B78473" w:rsidR="000A441B" w:rsidRPr="00B57E20" w:rsidRDefault="00000000">
      <w:pPr>
        <w:pStyle w:val="FirstParagraph"/>
        <w:rPr>
          <w:rFonts w:asciiTheme="majorHAnsi" w:hAnsiTheme="majorHAnsi" w:cstheme="majorHAnsi"/>
        </w:rPr>
      </w:pPr>
      <w:r w:rsidRPr="00B57E20">
        <w:rPr>
          <w:rFonts w:asciiTheme="majorHAnsi" w:hAnsiTheme="majorHAnsi" w:cstheme="majorHAnsi"/>
          <w:b/>
          <w:bCs/>
        </w:rPr>
        <w:t>Doç. Dr. Ebru Gül Yılmaz</w:t>
      </w:r>
      <w:r w:rsidRPr="00B57E20">
        <w:rPr>
          <w:rFonts w:asciiTheme="majorHAnsi" w:hAnsiTheme="majorHAnsi" w:cstheme="majorHAnsi"/>
        </w:rPr>
        <w:br/>
        <w:t>İstanbul Gelişim Üniversitesi, İktisadi, İdari ve Sosyal Bilimler Fakültesi,</w:t>
      </w:r>
      <w:r w:rsidRPr="00B57E20">
        <w:rPr>
          <w:rFonts w:asciiTheme="majorHAnsi" w:hAnsiTheme="majorHAnsi" w:cstheme="majorHAnsi"/>
        </w:rPr>
        <w:br/>
        <w:t>Uluslararası Ticaret ve Finans Bölümü</w:t>
      </w:r>
      <w:r w:rsidRPr="00B57E20">
        <w:rPr>
          <w:rFonts w:asciiTheme="majorHAnsi" w:hAnsiTheme="majorHAnsi" w:cstheme="majorHAnsi"/>
        </w:rPr>
        <w:br/>
        <w:t xml:space="preserve">İPUAM – </w:t>
      </w:r>
      <w:proofErr w:type="spellStart"/>
      <w:r w:rsidRPr="00B57E20">
        <w:rPr>
          <w:rFonts w:asciiTheme="majorHAnsi" w:hAnsiTheme="majorHAnsi" w:cstheme="majorHAnsi"/>
        </w:rPr>
        <w:t>İktisa</w:t>
      </w:r>
      <w:r w:rsidR="00B07EB6" w:rsidRPr="00B57E20">
        <w:rPr>
          <w:rFonts w:asciiTheme="majorHAnsi" w:hAnsiTheme="majorHAnsi" w:cstheme="majorHAnsi"/>
        </w:rPr>
        <w:t>t</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Politikalar</w:t>
      </w:r>
      <w:r w:rsidR="00B07EB6" w:rsidRPr="00B57E20">
        <w:rPr>
          <w:rFonts w:asciiTheme="majorHAnsi" w:hAnsiTheme="majorHAnsi" w:cstheme="majorHAnsi"/>
        </w:rPr>
        <w:t>ı</w:t>
      </w:r>
      <w:proofErr w:type="spellEnd"/>
      <w:r w:rsidRPr="00B57E20">
        <w:rPr>
          <w:rFonts w:asciiTheme="majorHAnsi" w:hAnsiTheme="majorHAnsi" w:cstheme="majorHAnsi"/>
        </w:rPr>
        <w:t xml:space="preserve"> Uygulama ve Araştırma Merkezi</w:t>
      </w:r>
    </w:p>
    <w:p w14:paraId="169D1570" w14:textId="77777777" w:rsidR="000A441B" w:rsidRPr="00B57E20" w:rsidRDefault="00000000">
      <w:pPr>
        <w:pStyle w:val="GvdeMetni"/>
        <w:rPr>
          <w:rFonts w:asciiTheme="majorHAnsi" w:hAnsiTheme="majorHAnsi" w:cstheme="majorHAnsi"/>
        </w:rPr>
      </w:pPr>
      <w:r w:rsidRPr="00B57E20">
        <w:rPr>
          <w:rFonts w:asciiTheme="majorHAnsi" w:hAnsiTheme="majorHAnsi" w:cstheme="majorHAnsi"/>
          <w:i/>
          <w:iCs/>
        </w:rPr>
        <w:t>Temmuz 2026</w:t>
      </w:r>
    </w:p>
    <w:p w14:paraId="169D1572" w14:textId="77777777" w:rsidR="000A441B" w:rsidRPr="00B57E20" w:rsidRDefault="00000000" w:rsidP="00B07EB6">
      <w:pPr>
        <w:pStyle w:val="Balk2"/>
        <w:jc w:val="both"/>
        <w:rPr>
          <w:rFonts w:cstheme="majorHAnsi"/>
          <w:color w:val="auto"/>
        </w:rPr>
      </w:pPr>
      <w:bookmarkStart w:id="1" w:name="öz"/>
      <w:r w:rsidRPr="00B57E20">
        <w:rPr>
          <w:rFonts w:cstheme="majorHAnsi"/>
          <w:color w:val="auto"/>
        </w:rPr>
        <w:t>Öz</w:t>
      </w:r>
    </w:p>
    <w:p w14:paraId="169D1573"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Temmuz 2025’te İskoçya’da müzakereleri tamamlanan ve 1 Temmuz 2026’da AB Resmî Gazetesi’nde yayımlanarak yürürlüğe giren AB–ABD Ticaret Anlaşması, transatlantik ticaret mimarisini köklü biçimde yeniden şekillendirmiştir. Anlaşma kapsamında ABD, AB menşeli ürünlere yüzde on beş gümrük tarifesi uygularken AB, ABD sanayi ürünlerine uyguladığı tarifeleri tamamen kaldırmıştır. Bu dönüşüm, 1996’dan bu yana yürürlükte olan Türkiye–AB Gümrük Birliği’nin yapısal kırılganlıklarını bir kez daha gün yüzüne çıkarmıştır. Türkiye, Gümrük Birliği çerçevesinde AB’nin ticaret politikasını büyük ölçüde uygulamakla yükümlü olmasına karşın müzakere masasında yer alamamaktadır. Bu makalede, AB–ABD anlaşmasının Türkiye ekonomisine olası etkileri; ticaret sapması (trade diversion), rekabet dezavantajı ve ihracat yapısındaki dönüşüm eksenlerinde analiz edilmektedir. Gümrük Birliği’nin güncellenmemesinin yarattığı yapısal asimetri ve olası politika seçenekleri de değerlendirilmektedir.</w:t>
      </w:r>
    </w:p>
    <w:p w14:paraId="169D1574"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Anahtar Kelimeler:</w:t>
      </w:r>
      <w:r w:rsidRPr="00B57E20">
        <w:rPr>
          <w:rFonts w:asciiTheme="majorHAnsi" w:hAnsiTheme="majorHAnsi" w:cstheme="majorHAnsi"/>
        </w:rPr>
        <w:t xml:space="preserve"> AB–ABD Ticaret Anlaşması, Gümrük Birliği, Ticaret Sapması, Türkiye Dış Ticareti, Serbest Ticaret Anlaşması</w:t>
      </w:r>
    </w:p>
    <w:p w14:paraId="169D1575" w14:textId="6F610F3C" w:rsidR="000A441B" w:rsidRPr="00B57E20" w:rsidRDefault="000A441B" w:rsidP="00B07EB6">
      <w:pPr>
        <w:jc w:val="both"/>
        <w:rPr>
          <w:rFonts w:asciiTheme="majorHAnsi" w:hAnsiTheme="majorHAnsi" w:cstheme="majorHAnsi"/>
        </w:rPr>
      </w:pPr>
    </w:p>
    <w:p w14:paraId="169D1576" w14:textId="77777777" w:rsidR="000A441B" w:rsidRPr="00B57E20" w:rsidRDefault="00000000" w:rsidP="00B07EB6">
      <w:pPr>
        <w:pStyle w:val="Balk2"/>
        <w:jc w:val="both"/>
        <w:rPr>
          <w:rFonts w:cstheme="majorHAnsi"/>
          <w:color w:val="auto"/>
        </w:rPr>
      </w:pPr>
      <w:bookmarkStart w:id="2" w:name="giriş"/>
      <w:bookmarkEnd w:id="1"/>
      <w:r w:rsidRPr="00B57E20">
        <w:rPr>
          <w:rFonts w:cstheme="majorHAnsi"/>
          <w:color w:val="auto"/>
        </w:rPr>
        <w:t>1. Giriş</w:t>
      </w:r>
    </w:p>
    <w:p w14:paraId="169D1577"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 xml:space="preserve">Uluslararası ticaret düzeninin hızla dönüştüğü günümüzde, ikili ve bölgesel anlaşmalar küresel ticaret akışlarını yeniden şekillendirmektedir. 2025–2026 döneminde gerçekleşen en köklü yapısal dönüşümlerden biri, Avrupa Birliği ile Amerika Birleşik Devletleri arasında imzalanan “Karşılıklı, Adil ve Dengeli Ticaret Çerçeve </w:t>
      </w:r>
      <w:proofErr w:type="gramStart"/>
      <w:r w:rsidRPr="00B57E20">
        <w:rPr>
          <w:rFonts w:asciiTheme="majorHAnsi" w:hAnsiTheme="majorHAnsi" w:cstheme="majorHAnsi"/>
        </w:rPr>
        <w:t>Anlaşması”dır</w:t>
      </w:r>
      <w:proofErr w:type="gramEnd"/>
      <w:r w:rsidRPr="00B57E20">
        <w:rPr>
          <w:rFonts w:asciiTheme="majorHAnsi" w:hAnsiTheme="majorHAnsi" w:cstheme="majorHAnsi"/>
        </w:rPr>
        <w:t xml:space="preserve"> (TEPAV, 2025). Bu anlaşma, yalnızca iki büyük ekonomi bloku arasındaki ilişkiyi değil; üçüncü ülkeler, özellikle de Gümrük Birliği aracılığıyla AB ticaret politikasına bağlı olan Türkiye açısından derin sonuçlar doğurmaktadır.</w:t>
      </w:r>
    </w:p>
    <w:p w14:paraId="169D1578"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Türkiye, 1 Ocak 1996 tarihinde yürürlüğe giren 1/95 sayılı Ortaklık Konseyi Kararı (OKK) çerçevesinde AB ile bir Gümrük Birliği tesis etmiştir (T.C. Dışişleri Bakanlığı, 2020). Bu birlik, Türkiye’ye AB pazarına tarihsiz erişim ve AB’nin ticaret politikasıyla uyum yükümlülüğü getirirken, eş zamanlı olarak AB’nin üçüncü ülkelerle müzakere ettiği serbest ticaret anlaşmaları (STA) süreçlerinin dışında bırakmaktadır (T.C. Ticaret Bakanlığı, 2023). AB–ABD anlaşmasının yürürlüğe girmesiyle birlikte bu asimetri somut bir ekonomik bedele dönüşmüştür.</w:t>
      </w:r>
    </w:p>
    <w:p w14:paraId="169D1579" w14:textId="79925A5E" w:rsidR="000A441B" w:rsidRPr="00B57E20" w:rsidRDefault="000A441B" w:rsidP="00B07EB6">
      <w:pPr>
        <w:jc w:val="both"/>
        <w:rPr>
          <w:rFonts w:asciiTheme="majorHAnsi" w:hAnsiTheme="majorHAnsi" w:cstheme="majorHAnsi"/>
        </w:rPr>
      </w:pPr>
    </w:p>
    <w:p w14:paraId="169D157A" w14:textId="77777777" w:rsidR="000A441B" w:rsidRPr="00B57E20" w:rsidRDefault="00000000" w:rsidP="00B07EB6">
      <w:pPr>
        <w:pStyle w:val="Balk2"/>
        <w:jc w:val="both"/>
        <w:rPr>
          <w:rFonts w:cstheme="majorHAnsi"/>
          <w:color w:val="auto"/>
        </w:rPr>
      </w:pPr>
      <w:bookmarkStart w:id="3" w:name="X09b56c8bf7b4a007639ae1de89edc895b96df2e"/>
      <w:bookmarkEnd w:id="2"/>
      <w:r w:rsidRPr="00B57E20">
        <w:rPr>
          <w:rFonts w:cstheme="majorHAnsi"/>
          <w:color w:val="auto"/>
        </w:rPr>
        <w:t>2. AB–ABD Ticaret Anlaşmasının Yapısı ve Temel Hükümleri</w:t>
      </w:r>
    </w:p>
    <w:p w14:paraId="169D157B" w14:textId="77777777" w:rsidR="000A441B" w:rsidRPr="00B57E20" w:rsidRDefault="00000000" w:rsidP="00B07EB6">
      <w:pPr>
        <w:pStyle w:val="Balk3"/>
        <w:jc w:val="both"/>
        <w:rPr>
          <w:rFonts w:cstheme="majorHAnsi"/>
          <w:color w:val="auto"/>
        </w:rPr>
      </w:pPr>
      <w:bookmarkStart w:id="4" w:name="anlaşmanın-müzakere-süreci"/>
      <w:r w:rsidRPr="00B57E20">
        <w:rPr>
          <w:rFonts w:cstheme="majorHAnsi"/>
          <w:color w:val="auto"/>
        </w:rPr>
        <w:t>2.1 Anlaşmanın Müzakere Süreci</w:t>
      </w:r>
    </w:p>
    <w:p w14:paraId="169D157C" w14:textId="4B941D33"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 xml:space="preserve">AB–ABD ticaret görüşmeleri, Temmuz 2025’te İskoçya’daki Turnberry golf sahasında ABD Başkanı Donald Trump ve AB Komisyonu Başkanı Ursula von der Leyen arasında gerçekleştirilen zirveyle tamamlanmıştır. Anlaşma çerçevesinde AB, ABD menşeli sanayi ürünlerine uyguladığı gümrük tarifelerini sıfırlamayı kabul etmiş; ABD ise AB menşeli ürünlerin büyük çoğunluğuna yüzde on beş </w:t>
      </w:r>
      <w:proofErr w:type="spellStart"/>
      <w:r w:rsidRPr="00B57E20">
        <w:rPr>
          <w:rFonts w:asciiTheme="majorHAnsi" w:hAnsiTheme="majorHAnsi" w:cstheme="majorHAnsi"/>
        </w:rPr>
        <w:t>tarife</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uygulamayı</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taahhüt</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etmiştir</w:t>
      </w:r>
      <w:proofErr w:type="spellEnd"/>
      <w:r w:rsidR="00B07EB6" w:rsidRPr="00B57E20">
        <w:rPr>
          <w:rFonts w:asciiTheme="majorHAnsi" w:hAnsiTheme="majorHAnsi" w:cstheme="majorHAnsi"/>
        </w:rPr>
        <w:t>.</w:t>
      </w:r>
    </w:p>
    <w:p w14:paraId="169D157D" w14:textId="527B35B9"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 xml:space="preserve">Anlaşmayı AB tarafı açısından hukuki olarak yürürlüğe koyan esas tüzük, AB Resmî Gazetesi’nde yayımlanmasının ardından </w:t>
      </w:r>
      <w:r w:rsidRPr="00B57E20">
        <w:rPr>
          <w:rFonts w:asciiTheme="majorHAnsi" w:hAnsiTheme="majorHAnsi" w:cstheme="majorHAnsi"/>
          <w:b/>
          <w:bCs/>
        </w:rPr>
        <w:t>1 Temmuz 2026</w:t>
      </w:r>
      <w:r w:rsidRPr="00B57E20">
        <w:rPr>
          <w:rFonts w:asciiTheme="majorHAnsi" w:hAnsiTheme="majorHAnsi" w:cstheme="majorHAnsi"/>
        </w:rPr>
        <w:t xml:space="preserve"> itibarıyla geçerlilik kazanmıştır. Bu tarihle birlikte AB, ABD menşeli sanayi ürünlerine uyguladığı gümrük vergilerini fiilen kaldırmış; çeşitli tarım ve deniz ürünlerine tercihli pazar erişimi sağlamaya başlamıştır. Anlaşma, AB’nin ekonomik çıkarlarını korumaya yönelik güvence mekanizmalarını da kapsamakta olup 31 Aralık 2029 tarihine kadar yürürlükte </w:t>
      </w:r>
      <w:proofErr w:type="spellStart"/>
      <w:r w:rsidRPr="00B57E20">
        <w:rPr>
          <w:rFonts w:asciiTheme="majorHAnsi" w:hAnsiTheme="majorHAnsi" w:cstheme="majorHAnsi"/>
        </w:rPr>
        <w:t>kalacaktır</w:t>
      </w:r>
      <w:proofErr w:type="spellEnd"/>
      <w:r w:rsidR="00B07EB6" w:rsidRPr="00B57E20">
        <w:rPr>
          <w:rFonts w:asciiTheme="majorHAnsi" w:hAnsiTheme="majorHAnsi" w:cstheme="majorHAnsi"/>
        </w:rPr>
        <w:t>.</w:t>
      </w:r>
      <w:r w:rsidRPr="00B57E20">
        <w:rPr>
          <w:rFonts w:asciiTheme="majorHAnsi" w:hAnsiTheme="majorHAnsi" w:cstheme="majorHAnsi"/>
        </w:rPr>
        <w:t xml:space="preserve"> </w:t>
      </w:r>
    </w:p>
    <w:p w14:paraId="169D157E" w14:textId="77777777" w:rsidR="000A441B" w:rsidRPr="00B57E20" w:rsidRDefault="00000000" w:rsidP="00B07EB6">
      <w:pPr>
        <w:pStyle w:val="Balk3"/>
        <w:jc w:val="both"/>
        <w:rPr>
          <w:rFonts w:cstheme="majorHAnsi"/>
          <w:color w:val="auto"/>
        </w:rPr>
      </w:pPr>
      <w:bookmarkStart w:id="5" w:name="anlaşmanın-temel-tarife-çerçevesi"/>
      <w:bookmarkEnd w:id="4"/>
      <w:r w:rsidRPr="00B57E20">
        <w:rPr>
          <w:rFonts w:cstheme="majorHAnsi"/>
          <w:color w:val="auto"/>
        </w:rPr>
        <w:t>2.2 Anlaşmanın Temel Tarife Çerçevesi</w:t>
      </w:r>
    </w:p>
    <w:p w14:paraId="169D157F"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Anlaşmanın tarife yapısı şu ana başlıklar etrafında şekillenmektedir:</w:t>
      </w:r>
    </w:p>
    <w:p w14:paraId="169D1580" w14:textId="74869508"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ABD tarafı taahhütleri:</w:t>
      </w:r>
      <w:r w:rsidRPr="00B57E20">
        <w:rPr>
          <w:rFonts w:asciiTheme="majorHAnsi" w:hAnsiTheme="majorHAnsi" w:cstheme="majorHAnsi"/>
        </w:rPr>
        <w:t xml:space="preserve"> ABD, AB menşeli ürünlerin </w:t>
      </w:r>
      <w:proofErr w:type="spellStart"/>
      <w:r w:rsidRPr="00B57E20">
        <w:rPr>
          <w:rFonts w:asciiTheme="majorHAnsi" w:hAnsiTheme="majorHAnsi" w:cstheme="majorHAnsi"/>
        </w:rPr>
        <w:t>yaklaşık</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yüzde</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yetmişine</w:t>
      </w:r>
      <w:proofErr w:type="spellEnd"/>
      <w:r w:rsidRPr="00B57E20">
        <w:rPr>
          <w:rFonts w:asciiTheme="majorHAnsi" w:hAnsiTheme="majorHAnsi" w:cstheme="majorHAnsi"/>
        </w:rPr>
        <w:t xml:space="preserve"> </w:t>
      </w:r>
      <w:r w:rsidR="00E34312">
        <w:rPr>
          <w:rFonts w:asciiTheme="majorHAnsi" w:hAnsiTheme="majorHAnsi" w:cstheme="majorHAnsi"/>
        </w:rPr>
        <w:t>%15</w:t>
      </w:r>
      <w:r w:rsidRPr="00B57E20">
        <w:rPr>
          <w:rFonts w:asciiTheme="majorHAnsi" w:hAnsiTheme="majorHAnsi" w:cstheme="majorHAnsi"/>
        </w:rPr>
        <w:t xml:space="preserve"> </w:t>
      </w:r>
      <w:proofErr w:type="spellStart"/>
      <w:r w:rsidRPr="00B57E20">
        <w:rPr>
          <w:rFonts w:asciiTheme="majorHAnsi" w:hAnsiTheme="majorHAnsi" w:cstheme="majorHAnsi"/>
        </w:rPr>
        <w:t>temel</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tarife</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uygulamaktadır</w:t>
      </w:r>
      <w:proofErr w:type="spellEnd"/>
      <w:r w:rsidRPr="00B57E20">
        <w:rPr>
          <w:rFonts w:asciiTheme="majorHAnsi" w:hAnsiTheme="majorHAnsi" w:cstheme="majorHAnsi"/>
        </w:rPr>
        <w:t xml:space="preserve">; bu oran, otomotiv, yarı iletkenler ve ilaç gibi sektörleri kapsamaktadır. Söz konusu oran, önceki yüzde otuz tehdit tarifesinin yarısına tekabül etmektedir; ancak anlaşma </w:t>
      </w:r>
      <w:proofErr w:type="spellStart"/>
      <w:r w:rsidRPr="00B57E20">
        <w:rPr>
          <w:rFonts w:asciiTheme="majorHAnsi" w:hAnsiTheme="majorHAnsi" w:cstheme="majorHAnsi"/>
        </w:rPr>
        <w:t>öncesi</w:t>
      </w:r>
      <w:proofErr w:type="spellEnd"/>
      <w:r w:rsidRPr="00B57E20">
        <w:rPr>
          <w:rFonts w:asciiTheme="majorHAnsi" w:hAnsiTheme="majorHAnsi" w:cstheme="majorHAnsi"/>
        </w:rPr>
        <w:t xml:space="preserve"> </w:t>
      </w:r>
      <w:r w:rsidR="00E34312">
        <w:rPr>
          <w:rFonts w:asciiTheme="majorHAnsi" w:hAnsiTheme="majorHAnsi" w:cstheme="majorHAnsi"/>
        </w:rPr>
        <w:t>%</w:t>
      </w:r>
      <w:r w:rsidRPr="00B57E20">
        <w:rPr>
          <w:rFonts w:asciiTheme="majorHAnsi" w:hAnsiTheme="majorHAnsi" w:cstheme="majorHAnsi"/>
        </w:rPr>
        <w:t xml:space="preserve">1,47’lik ortalama ABD tarifesiyle karşılaştırıldığında tarihsel olarak yüksek bir düzeyi temsil </w:t>
      </w:r>
      <w:proofErr w:type="spellStart"/>
      <w:r w:rsidRPr="00B57E20">
        <w:rPr>
          <w:rFonts w:asciiTheme="majorHAnsi" w:hAnsiTheme="majorHAnsi" w:cstheme="majorHAnsi"/>
        </w:rPr>
        <w:t>etmektedir</w:t>
      </w:r>
      <w:proofErr w:type="spellEnd"/>
      <w:r w:rsidR="000B476A" w:rsidRPr="00B57E20">
        <w:rPr>
          <w:rFonts w:asciiTheme="majorHAnsi" w:hAnsiTheme="majorHAnsi" w:cstheme="majorHAnsi"/>
        </w:rPr>
        <w:t>.</w:t>
      </w:r>
      <w:r w:rsidRPr="00B57E20">
        <w:rPr>
          <w:rFonts w:asciiTheme="majorHAnsi" w:hAnsiTheme="majorHAnsi" w:cstheme="majorHAnsi"/>
        </w:rPr>
        <w:t xml:space="preserve"> </w:t>
      </w:r>
    </w:p>
    <w:p w14:paraId="169D1581" w14:textId="0C6F6E78"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 xml:space="preserve">AB </w:t>
      </w:r>
      <w:proofErr w:type="spellStart"/>
      <w:r w:rsidRPr="00B57E20">
        <w:rPr>
          <w:rFonts w:asciiTheme="majorHAnsi" w:hAnsiTheme="majorHAnsi" w:cstheme="majorHAnsi"/>
          <w:b/>
          <w:bCs/>
        </w:rPr>
        <w:t>tarafı</w:t>
      </w:r>
      <w:proofErr w:type="spellEnd"/>
      <w:r w:rsidRPr="00B57E20">
        <w:rPr>
          <w:rFonts w:asciiTheme="majorHAnsi" w:hAnsiTheme="majorHAnsi" w:cstheme="majorHAnsi"/>
          <w:b/>
          <w:bCs/>
        </w:rPr>
        <w:t xml:space="preserve"> </w:t>
      </w:r>
      <w:proofErr w:type="spellStart"/>
      <w:r w:rsidRPr="00B57E20">
        <w:rPr>
          <w:rFonts w:asciiTheme="majorHAnsi" w:hAnsiTheme="majorHAnsi" w:cstheme="majorHAnsi"/>
          <w:b/>
          <w:bCs/>
        </w:rPr>
        <w:t>taahhütleri</w:t>
      </w:r>
      <w:proofErr w:type="spellEnd"/>
      <w:r w:rsidRPr="00B57E20">
        <w:rPr>
          <w:rFonts w:asciiTheme="majorHAnsi" w:hAnsiTheme="majorHAnsi" w:cstheme="majorHAnsi"/>
          <w:b/>
          <w:bCs/>
        </w:rPr>
        <w:t>:</w:t>
      </w:r>
      <w:r w:rsidRPr="00B57E20">
        <w:rPr>
          <w:rFonts w:asciiTheme="majorHAnsi" w:hAnsiTheme="majorHAnsi" w:cstheme="majorHAnsi"/>
        </w:rPr>
        <w:t xml:space="preserve"> AB, ABD sanayi ürünlerine uyguladığı gümrük vergilerini sıfırlamış; tarım ve deniz ürünlerine tercihli pazar erişimi sağlamıştır. Otomobil sektöründe AB, ABD’den ithal edilen araçlar için tarifeyi yüzde ondan yüzde 2,5’e </w:t>
      </w:r>
      <w:proofErr w:type="spellStart"/>
      <w:r w:rsidRPr="00B57E20">
        <w:rPr>
          <w:rFonts w:asciiTheme="majorHAnsi" w:hAnsiTheme="majorHAnsi" w:cstheme="majorHAnsi"/>
        </w:rPr>
        <w:t>indirmiştir</w:t>
      </w:r>
      <w:proofErr w:type="spellEnd"/>
      <w:r w:rsidR="00B07EB6" w:rsidRPr="00B57E20">
        <w:rPr>
          <w:rFonts w:asciiTheme="majorHAnsi" w:hAnsiTheme="majorHAnsi" w:cstheme="majorHAnsi"/>
        </w:rPr>
        <w:t>.</w:t>
      </w:r>
      <w:r w:rsidRPr="00B57E20">
        <w:rPr>
          <w:rFonts w:asciiTheme="majorHAnsi" w:hAnsiTheme="majorHAnsi" w:cstheme="majorHAnsi"/>
        </w:rPr>
        <w:t xml:space="preserve"> </w:t>
      </w:r>
    </w:p>
    <w:p w14:paraId="169D1582"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Enerji ve yatırım taahhütleri:</w:t>
      </w:r>
      <w:r w:rsidRPr="00B57E20">
        <w:rPr>
          <w:rFonts w:asciiTheme="majorHAnsi" w:hAnsiTheme="majorHAnsi" w:cstheme="majorHAnsi"/>
        </w:rPr>
        <w:t xml:space="preserve"> AB, 2028 yılına kadar 750 milyar dolarlık ABD enerji ürünü ithalatı ve en az 600 milyar dolarlık ABD’ye yatırım taahhüdü vermiştir (TEPAV, 2025).</w:t>
      </w:r>
    </w:p>
    <w:p w14:paraId="169D1583" w14:textId="7A085683"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Türkiye’nin durumu:</w:t>
      </w:r>
      <w:r w:rsidRPr="00B57E20">
        <w:rPr>
          <w:rFonts w:asciiTheme="majorHAnsi" w:hAnsiTheme="majorHAnsi" w:cstheme="majorHAnsi"/>
        </w:rPr>
        <w:t xml:space="preserve"> ABD Başkanı Trump tarafından imzalanan kararname çerçevesinde, anlaşma bulunmayan ülkeler için tarife oranları revize edilmiş ve Türkiye’ye yüzde on beş gümrük vergisi uygulanması öngörülmüştür; daha önceki süreçte ise Türkiye düşük tarife kategorisinde yer almaktaydı (T.C. Ticaret Bakanlığı, 2025).</w:t>
      </w:r>
    </w:p>
    <w:p w14:paraId="169D1584" w14:textId="5BC8CD14" w:rsidR="000A441B" w:rsidRPr="00B57E20" w:rsidRDefault="000A441B" w:rsidP="00B07EB6">
      <w:pPr>
        <w:jc w:val="both"/>
        <w:rPr>
          <w:rFonts w:asciiTheme="majorHAnsi" w:hAnsiTheme="majorHAnsi" w:cstheme="majorHAnsi"/>
        </w:rPr>
      </w:pPr>
    </w:p>
    <w:p w14:paraId="169D1585" w14:textId="77777777" w:rsidR="000A441B" w:rsidRPr="00B57E20" w:rsidRDefault="00000000" w:rsidP="00B07EB6">
      <w:pPr>
        <w:pStyle w:val="Balk2"/>
        <w:jc w:val="both"/>
        <w:rPr>
          <w:rFonts w:cstheme="majorHAnsi"/>
          <w:color w:val="auto"/>
        </w:rPr>
      </w:pPr>
      <w:bookmarkStart w:id="6" w:name="X77e4d2564856bee5176a8ccd4f9cd206876d15a"/>
      <w:bookmarkEnd w:id="3"/>
      <w:bookmarkEnd w:id="5"/>
      <w:r w:rsidRPr="00B57E20">
        <w:rPr>
          <w:rFonts w:cstheme="majorHAnsi"/>
          <w:color w:val="auto"/>
        </w:rPr>
        <w:t>3. Türkiye–AB Gümrük Birliği: Yapısal Çerçeve ve Kronik Kırılganlıklar</w:t>
      </w:r>
    </w:p>
    <w:p w14:paraId="169D1586" w14:textId="77777777" w:rsidR="000A441B" w:rsidRPr="00B57E20" w:rsidRDefault="00000000" w:rsidP="00B07EB6">
      <w:pPr>
        <w:pStyle w:val="Balk3"/>
        <w:jc w:val="both"/>
        <w:rPr>
          <w:rFonts w:cstheme="majorHAnsi"/>
          <w:color w:val="auto"/>
        </w:rPr>
      </w:pPr>
      <w:bookmarkStart w:id="7" w:name="X84b409c945a1863f83c75d6a0f394512ca064e6"/>
      <w:r w:rsidRPr="00B57E20">
        <w:rPr>
          <w:rFonts w:cstheme="majorHAnsi"/>
          <w:color w:val="auto"/>
        </w:rPr>
        <w:t>3.1 Gümrük Birliği’nin Hukuki ve Kurumsal Çerçevesi</w:t>
      </w:r>
    </w:p>
    <w:p w14:paraId="169D1587"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 xml:space="preserve">Türkiye–AB Gümrük Birliği, Ankara Anlaşması’nın (1963) öngördüğü üç dönemli geçiş sürecinin sonuncusu olarak 1/95 sayılı OKK ile hayata geçirilmiştir. Birlik, sanayi ürünleri ve işlenmiş tarım </w:t>
      </w:r>
      <w:r w:rsidRPr="00B57E20">
        <w:rPr>
          <w:rFonts w:asciiTheme="majorHAnsi" w:hAnsiTheme="majorHAnsi" w:cstheme="majorHAnsi"/>
        </w:rPr>
        <w:lastRenderedPageBreak/>
        <w:t>ürünleri arasındaki gümrük vergilerini ortadan kaldırmış; aynı zamanda Türkiye’yi AB’nin Ortak Gümrük Tarifesi’ni (OGT) üçüncü ülkelere uygulamakla yükümlü kılmıştır (T.C. Dışişleri Bakanlığı, 2020; AB.gov.tr, 2020).</w:t>
      </w:r>
    </w:p>
    <w:p w14:paraId="169D1588"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Bu çerçeveye göre Türkiye, AB’nin üçüncü ülkelerle müzakere ettiği STA’ları fiilen tanımak durumundadır; söz konusu ülkeler ise Türk ürünlerine kendi koşullarında tarife uygulamaya devam etmektedir. Bu durum, literatürde “asimetrik ticaret yükümlülüğü” olarak tanımlanmaktadır (Diriöz, 2026).</w:t>
      </w:r>
    </w:p>
    <w:p w14:paraId="169D1589" w14:textId="77777777" w:rsidR="000A441B" w:rsidRPr="00B57E20" w:rsidRDefault="00000000" w:rsidP="00B07EB6">
      <w:pPr>
        <w:pStyle w:val="Balk3"/>
        <w:jc w:val="both"/>
        <w:rPr>
          <w:rFonts w:cstheme="majorHAnsi"/>
          <w:color w:val="auto"/>
        </w:rPr>
      </w:pPr>
      <w:bookmarkStart w:id="8" w:name="gümrük-birliğinin-ticari-kazanımları"/>
      <w:bookmarkEnd w:id="7"/>
      <w:r w:rsidRPr="00B57E20">
        <w:rPr>
          <w:rFonts w:cstheme="majorHAnsi"/>
          <w:color w:val="auto"/>
        </w:rPr>
        <w:t>3.2 Gümrük Birliği’nin Ticari Kazanımları</w:t>
      </w:r>
    </w:p>
    <w:p w14:paraId="169D158A"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1996’dan 2022’ye kadar Türkiye–AB ikili ticaret hacmi yaklaşık altı kat artmıştır (İKV, 2025). 2024 yılında Türkiye’nin AB’ye ihracatı yüzde 4,2 artarak 108,7 milyar avroya ulaşmış; AB, Türkiye’nin en çok ithalat yaptığı beşinci ülke konumundaki yerini sürdürmüştür (İKV, 2025a). Türkiye’nin toplam ihracatının yüzde 41,5’i AB’ye yönelmiştir (TİM, 2025).</w:t>
      </w:r>
    </w:p>
    <w:p w14:paraId="169D158B" w14:textId="77777777" w:rsidR="000A441B" w:rsidRPr="00B57E20" w:rsidRDefault="00000000" w:rsidP="00B07EB6">
      <w:pPr>
        <w:pStyle w:val="Balk3"/>
        <w:jc w:val="both"/>
        <w:rPr>
          <w:rFonts w:cstheme="majorHAnsi"/>
          <w:color w:val="auto"/>
        </w:rPr>
      </w:pPr>
      <w:bookmarkStart w:id="9" w:name="gümrük-birliğinin-yapısal-sorunları"/>
      <w:bookmarkEnd w:id="8"/>
      <w:r w:rsidRPr="00B57E20">
        <w:rPr>
          <w:rFonts w:cstheme="majorHAnsi"/>
          <w:color w:val="auto"/>
        </w:rPr>
        <w:t>3.3 Gümrük Birliği’nin Yapısal Sorunları</w:t>
      </w:r>
    </w:p>
    <w:p w14:paraId="169D158C"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Ticaret Bakanlığı, Gümrük Birliği’ne ilişkin üç temel yapısal sorunu resmî olarak kayıt altına almıştır (T.C. Ticaret Bakanlığı, 2023):</w:t>
      </w:r>
    </w:p>
    <w:p w14:paraId="169D158D"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Karar süreçlerine katılım eksikliği:</w:t>
      </w:r>
      <w:r w:rsidRPr="00B57E20">
        <w:rPr>
          <w:rFonts w:asciiTheme="majorHAnsi" w:hAnsiTheme="majorHAnsi" w:cstheme="majorHAnsi"/>
        </w:rPr>
        <w:t xml:space="preserve"> Türkiye, Gümrük Birliği kapsamındaki alanlarda AB’nin karar alma süreçlerine dahil edilmemektedir. AB’nin ticaret politikası tercihlerini uygulamakla yükümlü olan Türkiye, bu politikaların belirlenmesinde söz hakkına sahip değildir.</w:t>
      </w:r>
    </w:p>
    <w:p w14:paraId="169D158E"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Üçüncü ülke STA’larından doğan asimetri:</w:t>
      </w:r>
      <w:r w:rsidRPr="00B57E20">
        <w:rPr>
          <w:rFonts w:asciiTheme="majorHAnsi" w:hAnsiTheme="majorHAnsi" w:cstheme="majorHAnsi"/>
        </w:rPr>
        <w:t xml:space="preserve"> AB’nin üçüncü ülkelerle akdettiği STA’lar çerçevesinde, söz konusu ülkeler AB pazarına tercifsiz erişim kazanmakta; bu ülkelerle eş düzeyde bir STA’ya sahip olmayan Türkiye ise rekabetçi dezavantajla karşı karşıya kalmaktadır.</w:t>
      </w:r>
    </w:p>
    <w:p w14:paraId="169D158F"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Karayolu kotaları ve teknik engeller:</w:t>
      </w:r>
      <w:r w:rsidRPr="00B57E20">
        <w:rPr>
          <w:rFonts w:asciiTheme="majorHAnsi" w:hAnsiTheme="majorHAnsi" w:cstheme="majorHAnsi"/>
        </w:rPr>
        <w:t xml:space="preserve"> Gümrük Birliği’nden tam anlamıyla yararlanmayı engelleyen karayolu kotaları ve teknik ticaret engelleri varlığını sürdürmektedir.</w:t>
      </w:r>
    </w:p>
    <w:p w14:paraId="169D1590" w14:textId="77777777" w:rsidR="000A441B" w:rsidRPr="00B57E20" w:rsidRDefault="00000000" w:rsidP="00B07EB6">
      <w:pPr>
        <w:pStyle w:val="Balk3"/>
        <w:jc w:val="both"/>
        <w:rPr>
          <w:rFonts w:cstheme="majorHAnsi"/>
          <w:color w:val="auto"/>
        </w:rPr>
      </w:pPr>
      <w:bookmarkStart w:id="10" w:name="güncelleme-sürecinin-tıkanması"/>
      <w:bookmarkEnd w:id="9"/>
      <w:r w:rsidRPr="00B57E20">
        <w:rPr>
          <w:rFonts w:cstheme="majorHAnsi"/>
          <w:color w:val="auto"/>
        </w:rPr>
        <w:t>3.4 Güncelleme Sürecinin Tıkanması</w:t>
      </w:r>
    </w:p>
    <w:p w14:paraId="169D1591" w14:textId="206BAB7E"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 xml:space="preserve">AB ile 2015 yılında Gümrük Birliği’nin güncellenmesine ilişkin teknik müzakereler tamamlanmış; ancak AB Konseyi’nin Avrupa Komisyonu’na müzakere yetkisi vermemesi nedeniyle resmî görüşmeler başlatılamamıştır (T.C. Ticaret Bakanlığı, 2023). Mart 2021 AB Liderler Zirvesi Sonuç Bildirisi’nde Komisyon’a Türkiye ile çalışmaların yoğunlaştırılması çağrısında bulunulmuş; ancak bu çağrı somut bir müzakere sürecine dönüşmemiştir. Ticaret Bakanlığı’nın açıklamalarına göre, Gümrük Birliği’nin işleyişinin geliştirilmesi ve güncelleme müzakerelerinin başlatılmasına yönelik AB Komisyonu ile teknik ve </w:t>
      </w:r>
      <w:proofErr w:type="spellStart"/>
      <w:r w:rsidRPr="00B57E20">
        <w:rPr>
          <w:rFonts w:asciiTheme="majorHAnsi" w:hAnsiTheme="majorHAnsi" w:cstheme="majorHAnsi"/>
        </w:rPr>
        <w:t>siyasi</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görüşmeler</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güncelliğini</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korumaktadır</w:t>
      </w:r>
      <w:proofErr w:type="spellEnd"/>
      <w:r w:rsidRPr="00B57E20">
        <w:rPr>
          <w:rFonts w:asciiTheme="majorHAnsi" w:hAnsiTheme="majorHAnsi" w:cstheme="majorHAnsi"/>
        </w:rPr>
        <w:t>.</w:t>
      </w:r>
    </w:p>
    <w:p w14:paraId="169D1592" w14:textId="29ED9CFB" w:rsidR="000A441B" w:rsidRPr="00B57E20" w:rsidRDefault="000A441B" w:rsidP="00B07EB6">
      <w:pPr>
        <w:jc w:val="both"/>
        <w:rPr>
          <w:rFonts w:asciiTheme="majorHAnsi" w:hAnsiTheme="majorHAnsi" w:cstheme="majorHAnsi"/>
        </w:rPr>
      </w:pPr>
    </w:p>
    <w:p w14:paraId="169D1593" w14:textId="77777777" w:rsidR="000A441B" w:rsidRPr="00B57E20" w:rsidRDefault="00000000" w:rsidP="00B07EB6">
      <w:pPr>
        <w:pStyle w:val="Balk2"/>
        <w:jc w:val="both"/>
        <w:rPr>
          <w:rFonts w:cstheme="majorHAnsi"/>
          <w:color w:val="auto"/>
        </w:rPr>
      </w:pPr>
      <w:bookmarkStart w:id="11" w:name="X914acfb6928e0373ccf8b680dd6ce6759c8fbf5"/>
      <w:bookmarkEnd w:id="6"/>
      <w:bookmarkEnd w:id="10"/>
      <w:r w:rsidRPr="00B57E20">
        <w:rPr>
          <w:rFonts w:cstheme="majorHAnsi"/>
          <w:color w:val="auto"/>
        </w:rPr>
        <w:lastRenderedPageBreak/>
        <w:t>4. AB–ABD Anlaşmasının Türkiye’ye Olası Etkileri: Çok Boyutlu Bir Analiz</w:t>
      </w:r>
    </w:p>
    <w:p w14:paraId="169D1594" w14:textId="77777777" w:rsidR="000A441B" w:rsidRPr="00B57E20" w:rsidRDefault="00000000" w:rsidP="00B07EB6">
      <w:pPr>
        <w:pStyle w:val="Balk3"/>
        <w:jc w:val="both"/>
        <w:rPr>
          <w:rFonts w:cstheme="majorHAnsi"/>
          <w:color w:val="auto"/>
        </w:rPr>
      </w:pPr>
      <w:bookmarkStart w:id="12" w:name="ticaret-sapması-trade-diversion-riski"/>
      <w:r w:rsidRPr="00B57E20">
        <w:rPr>
          <w:rFonts w:cstheme="majorHAnsi"/>
          <w:color w:val="auto"/>
        </w:rPr>
        <w:t>4.1 Ticaret Sapması (Trade Diversion) Riski</w:t>
      </w:r>
    </w:p>
    <w:p w14:paraId="169D1595"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Ticaret sapması, daha düşük maliyetle üretim yapan bir ülkeden ithalat yerine, ticaret anlaşmasının tanıdığı tarife avantajları nedeniyle daha yüksek maliyetli ortaktan ithalatın tercih edilmesi olgusudur (Viner, 1950).</w:t>
      </w:r>
    </w:p>
    <w:p w14:paraId="169D1596"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AB–ABD anlaşması bağlamında Türkiye, özellikle otomotiv, tekstil ve kimya sektörlerinde ticaret sapması riskiyle yüz yüzedir:</w:t>
      </w:r>
    </w:p>
    <w:p w14:paraId="169D1597"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Otomotiv:</w:t>
      </w:r>
      <w:r w:rsidRPr="00B57E20">
        <w:rPr>
          <w:rFonts w:asciiTheme="majorHAnsi" w:hAnsiTheme="majorHAnsi" w:cstheme="majorHAnsi"/>
        </w:rPr>
        <w:t xml:space="preserve"> Türkiye, ticari araç üretiminde küresel tedarik zincirlerinin merkezinde yer almakta; 2025 yılında ulaşılan 41,5 milyar dolarlık tarihi ihracat rekoru bu önemi teyit etmektedir (T.C. Ticaret Bakanlığı, 2025). Ancak AB–ABD anlaşması kapsamında ABD’den ithal edilen araçlara AB’nin uyguladığı tarifeyi yüzde ondan yüzde 2,5’e düşürmesi, Alman otomotiv sanayiini Türk rakiplerine kıyasla ABD pazarında belirgin biçimde avantajlı konuma taşımaktadır. 2024 yılında Almanya’nın yalnızca ABD’ye 34,9 milyar dolarlık otomobil ve parça ihracatı gerçekleştirdiği göz önüne alındığında, bu sektördeki rekabet baskısının büyüklüğü ortaya çıkmaktadır (TEPAV, 2025).</w:t>
      </w:r>
    </w:p>
    <w:p w14:paraId="169D1598" w14:textId="75520256"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Tekstil ve Hazır Giyim:</w:t>
      </w:r>
      <w:r w:rsidRPr="00B57E20">
        <w:rPr>
          <w:rFonts w:asciiTheme="majorHAnsi" w:hAnsiTheme="majorHAnsi" w:cstheme="majorHAnsi"/>
        </w:rPr>
        <w:t xml:space="preserve"> Türkiye, AB’nin en büyük ikinci tekstil tedarikçisi konumundadır; 2025 yılında gerçekleştirilen 11,4 milyar dolarlık tekstil ihracatının yaklaşık yüzde </w:t>
      </w:r>
      <w:proofErr w:type="spellStart"/>
      <w:r w:rsidRPr="00B57E20">
        <w:rPr>
          <w:rFonts w:asciiTheme="majorHAnsi" w:hAnsiTheme="majorHAnsi" w:cstheme="majorHAnsi"/>
        </w:rPr>
        <w:t>kırkı</w:t>
      </w:r>
      <w:proofErr w:type="spellEnd"/>
      <w:r w:rsidRPr="00B57E20">
        <w:rPr>
          <w:rFonts w:asciiTheme="majorHAnsi" w:hAnsiTheme="majorHAnsi" w:cstheme="majorHAnsi"/>
        </w:rPr>
        <w:t xml:space="preserve"> AB </w:t>
      </w:r>
      <w:proofErr w:type="spellStart"/>
      <w:r w:rsidRPr="00B57E20">
        <w:rPr>
          <w:rFonts w:asciiTheme="majorHAnsi" w:hAnsiTheme="majorHAnsi" w:cstheme="majorHAnsi"/>
        </w:rPr>
        <w:t>pazarına</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yönelmiştir</w:t>
      </w:r>
      <w:proofErr w:type="spellEnd"/>
      <w:r w:rsidRPr="00B57E20">
        <w:rPr>
          <w:rFonts w:asciiTheme="majorHAnsi" w:hAnsiTheme="majorHAnsi" w:cstheme="majorHAnsi"/>
        </w:rPr>
        <w:t>. Gümrük Birliği çerçevesinde Türk ihracatçısının AB pazarında sıfır tarifeden yararlandığı bu sektörde, AB–ABD anlaşmasının dolaylı etkileri izlenmesi gereken bir başlık olarak öne çıkmaktadır.</w:t>
      </w:r>
    </w:p>
    <w:p w14:paraId="169D1599" w14:textId="77777777" w:rsidR="000A441B" w:rsidRPr="00B57E20" w:rsidRDefault="00000000" w:rsidP="00B07EB6">
      <w:pPr>
        <w:pStyle w:val="Balk3"/>
        <w:jc w:val="both"/>
        <w:rPr>
          <w:rFonts w:cstheme="majorHAnsi"/>
          <w:color w:val="auto"/>
        </w:rPr>
      </w:pPr>
      <w:bookmarkStart w:id="13" w:name="X883a236f0b64d0b73edde22afd96dcecbdbecfa"/>
      <w:bookmarkEnd w:id="12"/>
      <w:r w:rsidRPr="00B57E20">
        <w:rPr>
          <w:rFonts w:cstheme="majorHAnsi"/>
          <w:color w:val="auto"/>
        </w:rPr>
        <w:t>4.2 ABD Pazarındaki Rekabet Koşullarının Bozulması</w:t>
      </w:r>
    </w:p>
    <w:p w14:paraId="169D159A" w14:textId="4099F3E8"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 xml:space="preserve">AB–ABD anlaşması öncesinde Türkiye, bazı sektörlerde ABD’ye ihracatta AB üyelerine kıyasla tarife avantajına sahipti. Anlaşmanın yürürlüğe girmesiyle birlikte AB ürünleri yüzde on beş tarife öderken, Türk ürünlerine de aynı oranın uygulanacağı açıklanmıştır; bu durum, Türkiye’nin daha önce sahip olduğu </w:t>
      </w:r>
      <w:proofErr w:type="spellStart"/>
      <w:r w:rsidRPr="00B57E20">
        <w:rPr>
          <w:rFonts w:asciiTheme="majorHAnsi" w:hAnsiTheme="majorHAnsi" w:cstheme="majorHAnsi"/>
        </w:rPr>
        <w:t>asimetrik</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avantajı</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ortadan</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kaldırmaktadır</w:t>
      </w:r>
      <w:proofErr w:type="spellEnd"/>
      <w:r w:rsidRPr="00B57E20">
        <w:rPr>
          <w:rFonts w:asciiTheme="majorHAnsi" w:hAnsiTheme="majorHAnsi" w:cstheme="majorHAnsi"/>
        </w:rPr>
        <w:t>. TEPAV analistlerine göre bu gelişme, Türk ihracatçısının ABD pazarındaki rekabet üstünlüğünü zedelemekte ve ihracat dengesini olumsuz etkileyebilecek potansiyel taşımaktadır (TEPAV, 2025).</w:t>
      </w:r>
    </w:p>
    <w:p w14:paraId="169D159B" w14:textId="77777777" w:rsidR="000A441B" w:rsidRPr="00B57E20" w:rsidRDefault="00000000" w:rsidP="00B07EB6">
      <w:pPr>
        <w:pStyle w:val="Balk3"/>
        <w:jc w:val="both"/>
        <w:rPr>
          <w:rFonts w:cstheme="majorHAnsi"/>
          <w:color w:val="auto"/>
        </w:rPr>
      </w:pPr>
      <w:bookmarkStart w:id="14" w:name="gümrük-birliğinin-yarattığı-çifte-kıskaç"/>
      <w:bookmarkEnd w:id="13"/>
      <w:r w:rsidRPr="00B57E20">
        <w:rPr>
          <w:rFonts w:cstheme="majorHAnsi"/>
          <w:color w:val="auto"/>
        </w:rPr>
        <w:t>4.3 Gümrük Birliği’nin Yarattığı Çifte Kıskaç</w:t>
      </w:r>
    </w:p>
    <w:p w14:paraId="169D159C"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AB–ABD anlaşması, Gümrük Birliği kaynaklı yapısal kırılganlığı iki farklı kanaldan derinleştirmektedir:</w:t>
      </w:r>
    </w:p>
    <w:p w14:paraId="169D159D"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Birinci kanal:</w:t>
      </w:r>
      <w:r w:rsidRPr="00B57E20">
        <w:rPr>
          <w:rFonts w:asciiTheme="majorHAnsi" w:hAnsiTheme="majorHAnsi" w:cstheme="majorHAnsi"/>
        </w:rPr>
        <w:t xml:space="preserve"> Türkiye, Gümrük Birliği yükümlülükleri gereği ABD’li ürünlere AB’nin uyguladığı şartlara paralel tarife koşulları tanımak durumunda kalabilecektir; ancak bunun karşılığında ABD ile ikili bir STA avantajından yararlanamamaktadır.</w:t>
      </w:r>
    </w:p>
    <w:p w14:paraId="169D159E"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İkinci kanal:</w:t>
      </w:r>
      <w:r w:rsidRPr="00B57E20">
        <w:rPr>
          <w:rFonts w:asciiTheme="majorHAnsi" w:hAnsiTheme="majorHAnsi" w:cstheme="majorHAnsi"/>
        </w:rPr>
        <w:t xml:space="preserve"> AB’nin ABD ile anlaşma sağlaması, “iş birliği var ama karar süreçlerinde yok” modelinin artık ciddi ekonomik maliyetler ürettiğini somutlaştırmaktadır (Diriöz, 2026). Akademik değerlendirmeler, Gümrük Birliği’nin güncellenmemesinin Türkiye’yi AB’nin ticaret </w:t>
      </w:r>
      <w:r w:rsidRPr="00B57E20">
        <w:rPr>
          <w:rFonts w:asciiTheme="majorHAnsi" w:hAnsiTheme="majorHAnsi" w:cstheme="majorHAnsi"/>
        </w:rPr>
        <w:lastRenderedPageBreak/>
        <w:t>açılımlarında pasif alıcı konumuna ittiğini ve rekabet gücünü zayıflattığını ortaya koymaktadır (GZT.com, 2026).</w:t>
      </w:r>
    </w:p>
    <w:p w14:paraId="169D159F" w14:textId="77777777" w:rsidR="000A441B" w:rsidRPr="00B57E20" w:rsidRDefault="00000000" w:rsidP="00B07EB6">
      <w:pPr>
        <w:pStyle w:val="Balk3"/>
        <w:jc w:val="both"/>
        <w:rPr>
          <w:rFonts w:cstheme="majorHAnsi"/>
          <w:color w:val="auto"/>
        </w:rPr>
      </w:pPr>
      <w:bookmarkStart w:id="15" w:name="Xa53162d786cba0bbd37acf6a698e535ea98d0a2"/>
      <w:bookmarkEnd w:id="14"/>
      <w:r w:rsidRPr="00B57E20">
        <w:rPr>
          <w:rFonts w:cstheme="majorHAnsi"/>
          <w:color w:val="auto"/>
        </w:rPr>
        <w:t>4.4 Kümülatif Baskı: AB’nin Üçüncü Ülke STA’ları</w:t>
      </w:r>
    </w:p>
    <w:p w14:paraId="169D15A0"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AB–ABD anlaşması, tek başına değerlendirildiğinde dahi endişe vericidir; ancak asıl yapısal tehdit, AB’nin eş zamanlı olarak birden fazla büyük ekonomiyle imzaladığı STA’ların kümülatif etkisinden kaynaklanmaktadır:</w:t>
      </w:r>
    </w:p>
    <w:p w14:paraId="169D15A1"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AB–Hindistan STA’sı (2026 başı itibarıyla kesinleşen): Hindistan, 773 milyar dolarlık ihracatıyla dünyanın onuncu büyük ihracatçısıdır. AB’nin Hindistan’dan ithal ettiği ürünlerin yüzde seksenine tarife sıfırlanacak olması; tekstil, otomotiv yan sanayi, kimyasallar ve demir-çelik başta olmak üzere Türkiye’nin kritik ihracat sektörlerinde ciddi pazar kaybı riskine yol açmaktadır (İKV, 2026).</w:t>
      </w:r>
    </w:p>
    <w:p w14:paraId="169D15A2"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AB–Mercosur STA’sı: Arjantin, Brezilya, Paraguay ve Uruguay’ı kapsayan bu anlaşma da tarım ve sanayi ürünlerinde Türkiye aleyhine rekabet baskısı yaratma potansiyeli taşımaktadır.</w:t>
      </w:r>
    </w:p>
    <w:p w14:paraId="169D15A3" w14:textId="052AA4E0"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 xml:space="preserve">Ege Bölgesi Sanayi Odası (EBSO) Yönetim Kurulu Başkanı Ender Yorgancılar, bu gelişmeleri bir arada değerlendirerek şu tespiti yapmaktadır: AB–Hindistan STA’sı, AB–Mercosur STA’sı, “Made in Europe” yaklaşımı, güncellenemeyen Gümrük Birliği ve Sınırda Karbon Düzenleme Mekanizması’nın kümülatif etkisi, AB’nin yeni yapılanma sürecinin temel kaybedeninin Türk </w:t>
      </w:r>
      <w:proofErr w:type="spellStart"/>
      <w:r w:rsidRPr="00B57E20">
        <w:rPr>
          <w:rFonts w:asciiTheme="majorHAnsi" w:hAnsiTheme="majorHAnsi" w:cstheme="majorHAnsi"/>
        </w:rPr>
        <w:t>sanayisi</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olduğuna</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işaret</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etmektedir</w:t>
      </w:r>
      <w:proofErr w:type="spellEnd"/>
      <w:r w:rsidRPr="00B57E20">
        <w:rPr>
          <w:rFonts w:asciiTheme="majorHAnsi" w:hAnsiTheme="majorHAnsi" w:cstheme="majorHAnsi"/>
        </w:rPr>
        <w:t>.</w:t>
      </w:r>
    </w:p>
    <w:p w14:paraId="169D15A4" w14:textId="5D9ECB8D" w:rsidR="000A441B" w:rsidRPr="00B57E20" w:rsidRDefault="000A441B" w:rsidP="00B07EB6">
      <w:pPr>
        <w:jc w:val="both"/>
        <w:rPr>
          <w:rFonts w:asciiTheme="majorHAnsi" w:hAnsiTheme="majorHAnsi" w:cstheme="majorHAnsi"/>
        </w:rPr>
      </w:pPr>
    </w:p>
    <w:p w14:paraId="169D15A5" w14:textId="77777777" w:rsidR="000A441B" w:rsidRPr="00B57E20" w:rsidRDefault="00000000" w:rsidP="00B07EB6">
      <w:pPr>
        <w:pStyle w:val="Balk2"/>
        <w:jc w:val="both"/>
        <w:rPr>
          <w:rFonts w:cstheme="majorHAnsi"/>
          <w:color w:val="auto"/>
        </w:rPr>
      </w:pPr>
      <w:bookmarkStart w:id="16" w:name="Xeada4ee53a92e8df57a0a9f3a2973d0b7a9e576"/>
      <w:bookmarkEnd w:id="11"/>
      <w:bookmarkEnd w:id="15"/>
      <w:r w:rsidRPr="00B57E20">
        <w:rPr>
          <w:rFonts w:cstheme="majorHAnsi"/>
          <w:color w:val="auto"/>
        </w:rPr>
        <w:t>5. Gümrük Birliği’nin Yeniden Yapılandırılmasına Yönelik Politika Seçenekleri</w:t>
      </w:r>
    </w:p>
    <w:p w14:paraId="169D15A6" w14:textId="77777777" w:rsidR="000A441B" w:rsidRPr="00B57E20" w:rsidRDefault="00000000" w:rsidP="00B07EB6">
      <w:pPr>
        <w:pStyle w:val="Balk3"/>
        <w:jc w:val="both"/>
        <w:rPr>
          <w:rFonts w:cstheme="majorHAnsi"/>
          <w:color w:val="auto"/>
        </w:rPr>
      </w:pPr>
      <w:bookmarkStart w:id="17" w:name="X03237765ec3b67306335fe3d81994ab4c8da358"/>
      <w:r w:rsidRPr="00B57E20">
        <w:rPr>
          <w:rFonts w:cstheme="majorHAnsi"/>
          <w:color w:val="auto"/>
        </w:rPr>
        <w:t>5.1 Mevcut Çerçevenin Sürdürülebilirlik Analizi</w:t>
      </w:r>
    </w:p>
    <w:p w14:paraId="169D15A7"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İKV (İktisadi Kalkınma Vakfı) tarafından gerçekleştirilen senaryo analizleri üç temel seçenek üzerinden değerlendirme yapmaktadır (İKV, 2025):</w:t>
      </w:r>
    </w:p>
    <w:p w14:paraId="169D15A8"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Birinci senaryo — Statüko:</w:t>
      </w:r>
      <w:r w:rsidRPr="00B57E20">
        <w:rPr>
          <w:rFonts w:asciiTheme="majorHAnsi" w:hAnsiTheme="majorHAnsi" w:cstheme="majorHAnsi"/>
        </w:rPr>
        <w:t xml:space="preserve"> Gümrük Birliği’nin mevcut biçimiyle devam etmesi. Bu seçenek, AB’nin yeni nesil STA’larından kaynaklanan ticaret sapmasını derinleştirmeye devam edecek ve Türkiye’nin rekabetçi konumunu zayıflatacaktır.</w:t>
      </w:r>
    </w:p>
    <w:p w14:paraId="169D15A9"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İkinci senaryo — Serbest Ticaret Anlaşması’na Dönüşüm:</w:t>
      </w:r>
      <w:r w:rsidRPr="00B57E20">
        <w:rPr>
          <w:rFonts w:asciiTheme="majorHAnsi" w:hAnsiTheme="majorHAnsi" w:cstheme="majorHAnsi"/>
        </w:rPr>
        <w:t xml:space="preserve"> Mevcut Gümrük Birliği kapsamı korunarak bir STA formatına geçiş. Bu seçenek, Türkiye’ye üçüncü ülkelerle bağımsız STA müzakeresi yürütme esnekliği kazandıracaktır.</w:t>
      </w:r>
    </w:p>
    <w:p w14:paraId="169D15AA"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b/>
          <w:bCs/>
        </w:rPr>
        <w:t>Üçüncü senaryo — Kapsamlı ve Derin STA:</w:t>
      </w:r>
      <w:r w:rsidRPr="00B57E20">
        <w:rPr>
          <w:rFonts w:asciiTheme="majorHAnsi" w:hAnsiTheme="majorHAnsi" w:cstheme="majorHAnsi"/>
        </w:rPr>
        <w:t xml:space="preserve"> Hizmetler, kamu alımları ve tarım sektörlerini kapsayan derinleştirilmiş bir STA çerçevesi. Analize göre bu senaryoda Türkiye’nin GSYİH’si yüzde 1,9 oranında artabilecek; AB ülkelerine ihracat ve toplam ihracatta belirgin kazanımlar sağlanabilecektir (İKV, 2025).</w:t>
      </w:r>
    </w:p>
    <w:p w14:paraId="169D15AB" w14:textId="77777777" w:rsidR="000A441B" w:rsidRPr="00B57E20" w:rsidRDefault="00000000" w:rsidP="00B07EB6">
      <w:pPr>
        <w:pStyle w:val="Balk3"/>
        <w:jc w:val="both"/>
        <w:rPr>
          <w:rFonts w:cstheme="majorHAnsi"/>
          <w:color w:val="auto"/>
        </w:rPr>
      </w:pPr>
      <w:bookmarkStart w:id="18" w:name="türkiyeabd-ikili-sta-seçeneği"/>
      <w:bookmarkEnd w:id="17"/>
      <w:r w:rsidRPr="00B57E20">
        <w:rPr>
          <w:rFonts w:cstheme="majorHAnsi"/>
          <w:color w:val="auto"/>
        </w:rPr>
        <w:lastRenderedPageBreak/>
        <w:t>5.2 Türkiye–ABD İkili STA Seçeneği</w:t>
      </w:r>
    </w:p>
    <w:p w14:paraId="169D15AC"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Türkiye’nin ABD ile bağımsız bir STA müzakeresi başlatması, Gümrük Birliği’nden doğan ticari asimetriyi aşmanın en doğrudan yolu olarak değerlendirilmektedir. Ancak bu yaklaşım, Gümrük Birliği’nin 1/95 sayılı OKK’nın 16. maddesi çerçevesinde Türkiye’nin ticaret politikasını AB’nin Ortak Ticaret Politikası ile uyumlu tutma yükümlülüğünü beraberinde getirmesi nedeniyle hukuki ve kurumsal güçlükler barındırmaktadır (T.C. Dışişleri Bakanlığı, 2020). Bu bağlamda, transatlantik STA sürecindeki Türkiye’nin konumu akademik çevrelerde de tartışılmaktadır (Oduncu, Kilinç ve Mavuş, 2015).</w:t>
      </w:r>
    </w:p>
    <w:p w14:paraId="169D15AD" w14:textId="77777777" w:rsidR="000A441B" w:rsidRPr="00B57E20" w:rsidRDefault="00000000" w:rsidP="00B07EB6">
      <w:pPr>
        <w:pStyle w:val="Balk3"/>
        <w:jc w:val="both"/>
        <w:rPr>
          <w:rFonts w:cstheme="majorHAnsi"/>
          <w:color w:val="auto"/>
        </w:rPr>
      </w:pPr>
      <w:bookmarkStart w:id="19" w:name="X1e44aac5f21cc1095ca57184f54b74579441157"/>
      <w:bookmarkEnd w:id="18"/>
      <w:r w:rsidRPr="00B57E20">
        <w:rPr>
          <w:rFonts w:cstheme="majorHAnsi"/>
          <w:color w:val="auto"/>
        </w:rPr>
        <w:t>5.3 Rekabetçi Konumun Güçlendirilmesine Yönelik Sektörel Öneriler</w:t>
      </w:r>
    </w:p>
    <w:p w14:paraId="169D15AE" w14:textId="404B0B72"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 xml:space="preserve">EBSO’nun önerileri çerçevesinde sektörel düzeyde alınabilecek tedbirler </w:t>
      </w:r>
      <w:proofErr w:type="spellStart"/>
      <w:r w:rsidRPr="00B57E20">
        <w:rPr>
          <w:rFonts w:asciiTheme="majorHAnsi" w:hAnsiTheme="majorHAnsi" w:cstheme="majorHAnsi"/>
        </w:rPr>
        <w:t>şu</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başlıklar</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altında</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özetlenebilir</w:t>
      </w:r>
      <w:proofErr w:type="spellEnd"/>
      <w:r w:rsidR="008E205F" w:rsidRPr="00B57E20">
        <w:rPr>
          <w:rFonts w:asciiTheme="majorHAnsi" w:hAnsiTheme="majorHAnsi" w:cstheme="majorHAnsi"/>
        </w:rPr>
        <w:t>:</w:t>
      </w:r>
    </w:p>
    <w:p w14:paraId="169D15AF"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Tekstil sektöründe AB–Hindistan STA’sının doğurabileceği rekabet baskısına karşı tedarik zinciri farklılaşması ve katma değer artırımı stratejilerinin geliştirilmesi; alüminyum başta olmak üzere hammadde ithalatında sektörel destek mekanizmalarının güçlendirilmesi; AB’nin Sınırda Karbon Düzenleme Mekanizması müzakerelerinde Türkiye’nin aktif rol üstlenmesi.</w:t>
      </w:r>
    </w:p>
    <w:p w14:paraId="169D15B1" w14:textId="77777777" w:rsidR="000A441B" w:rsidRPr="00B57E20" w:rsidRDefault="00000000" w:rsidP="00B07EB6">
      <w:pPr>
        <w:pStyle w:val="Balk2"/>
        <w:jc w:val="both"/>
        <w:rPr>
          <w:rFonts w:cstheme="majorHAnsi"/>
          <w:color w:val="auto"/>
        </w:rPr>
      </w:pPr>
      <w:bookmarkStart w:id="20" w:name="sonuç-masada-olmayan-ülkenin-bedeli"/>
      <w:bookmarkEnd w:id="16"/>
      <w:bookmarkEnd w:id="19"/>
      <w:r w:rsidRPr="00B57E20">
        <w:rPr>
          <w:rFonts w:cstheme="majorHAnsi"/>
          <w:color w:val="auto"/>
        </w:rPr>
        <w:t>6. Sonuç: Masada Olmayan Ülkenin Bedeli</w:t>
      </w:r>
    </w:p>
    <w:p w14:paraId="169D15B2" w14:textId="77777777" w:rsidR="000A441B" w:rsidRPr="00B57E20" w:rsidRDefault="00000000" w:rsidP="00B07EB6">
      <w:pPr>
        <w:pStyle w:val="FirstParagraph"/>
        <w:jc w:val="both"/>
        <w:rPr>
          <w:rFonts w:asciiTheme="majorHAnsi" w:hAnsiTheme="majorHAnsi" w:cstheme="majorHAnsi"/>
        </w:rPr>
      </w:pPr>
      <w:r w:rsidRPr="00B57E20">
        <w:rPr>
          <w:rFonts w:asciiTheme="majorHAnsi" w:hAnsiTheme="majorHAnsi" w:cstheme="majorHAnsi"/>
        </w:rPr>
        <w:t>AB–ABD Ticaret Anlaşması, 1996’dan bu yana Türkiye’nin büyük ölçüde kabul ederek yaşadığı ama fiilî maliyeti görece sınırlı kalan bir yapısal kırılganlığı —Gümrük Birliği’nin güncellenmemesini— somut bir ekonomik bedele dönüştürmüştür. Türkiye, AB ticaret politikasının uygulayıcısı konumundayken, bu politikaların belirlenmesinde masada yer alamamaktadır.</w:t>
      </w:r>
    </w:p>
    <w:p w14:paraId="169D15B3"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Mevcut tablo üç temel olguyu bir arada yansıtmaktadır: ABD pazarında AB ürünlerine tanınan tarife avantajı Türk ihracatçısının rekabet üstünlüğünü zayıflatmakta; AB’nin Hindistan ve Mercosur gibi büyük ekonomilerle imzaladığı STA’ların kümülatif etkisi kritik sektörlerde pazar kaybı riskini derinleştirmekte; ve Gümrük Birliği güncelleme müzakerelerindeki kronik tıkanıklık yapısal asimetriyi kalıcılaştırmaktadır.</w:t>
      </w:r>
    </w:p>
    <w:p w14:paraId="169D15B4"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Bu dinamikler değerlendirildiğinde, öncelik sıralaması şu biçimde kurgulanabilir: Birincisi, AB ile Gümrük Birliği güncelleme müzakerelerinin —özellikle hizmetler, kamu alımları ve tarım başlıklarında— ivedilikle başlatılması; ikincisi, ABD ile ikili STA olanaklarının hukuki ve kurumsal kısıtlar çerçevesinde değerlendirilmesi; üçüncüsü, “Made in Europe” ve Sınırda Karbon Düzenleme Mekanizması gibi AB’nin tek pazarı yeniden şekillendiren düzenlemelerine uyum süreçlerinin proaktif biçimde yönetilmesi.</w:t>
      </w:r>
    </w:p>
    <w:p w14:paraId="169D15B5" w14:textId="77777777" w:rsidR="000A441B" w:rsidRPr="00B57E20" w:rsidRDefault="00000000" w:rsidP="00B07EB6">
      <w:pPr>
        <w:pStyle w:val="GvdeMetni"/>
        <w:jc w:val="both"/>
        <w:rPr>
          <w:rFonts w:asciiTheme="majorHAnsi" w:hAnsiTheme="majorHAnsi" w:cstheme="majorHAnsi"/>
        </w:rPr>
      </w:pPr>
      <w:r w:rsidRPr="00B57E20">
        <w:rPr>
          <w:rFonts w:asciiTheme="majorHAnsi" w:hAnsiTheme="majorHAnsi" w:cstheme="majorHAnsi"/>
        </w:rPr>
        <w:t>Sonuç olarak, AB–ABD anlaşması Türkiye için yalnızca bir dış şok değil; yıllardır birikmiş yapısal bir ihmalin fatura kesilesinin geldiğini gösteren bir uyarı işaretidir. Gümrük Birliği’nin çeyrek asırdan fazla süredir güncellenmemesinin ekonomik maliyeti, artık soyut bir politika tartışmasının ötesinde, somut ihracat rakamlarına, sektörel rekabet gücüne ve büyüme potansiyeline yansımaktadır.</w:t>
      </w:r>
    </w:p>
    <w:p w14:paraId="169D15B6" w14:textId="4BFB66E4" w:rsidR="000A441B" w:rsidRPr="00B57E20" w:rsidRDefault="000A441B">
      <w:pPr>
        <w:rPr>
          <w:rFonts w:asciiTheme="majorHAnsi" w:hAnsiTheme="majorHAnsi" w:cstheme="majorHAnsi"/>
        </w:rPr>
      </w:pPr>
    </w:p>
    <w:p w14:paraId="169D15B7" w14:textId="77777777" w:rsidR="000A441B" w:rsidRPr="00B57E20" w:rsidRDefault="00000000">
      <w:pPr>
        <w:pStyle w:val="Balk2"/>
        <w:rPr>
          <w:rFonts w:cstheme="majorHAnsi"/>
          <w:color w:val="auto"/>
        </w:rPr>
      </w:pPr>
      <w:bookmarkStart w:id="21" w:name="kaynakça"/>
      <w:bookmarkEnd w:id="20"/>
      <w:r w:rsidRPr="00B57E20">
        <w:rPr>
          <w:rFonts w:cstheme="majorHAnsi"/>
          <w:color w:val="auto"/>
        </w:rPr>
        <w:t>Kaynakça</w:t>
      </w:r>
    </w:p>
    <w:p w14:paraId="169D15BC" w14:textId="77777777" w:rsidR="000A441B" w:rsidRPr="00B57E20" w:rsidRDefault="00000000" w:rsidP="000B476A">
      <w:pPr>
        <w:pStyle w:val="GvdeMetni"/>
        <w:jc w:val="both"/>
        <w:rPr>
          <w:rFonts w:asciiTheme="majorHAnsi" w:hAnsiTheme="majorHAnsi" w:cstheme="majorHAnsi"/>
        </w:rPr>
      </w:pPr>
      <w:proofErr w:type="spellStart"/>
      <w:r w:rsidRPr="00B57E20">
        <w:rPr>
          <w:rFonts w:asciiTheme="majorHAnsi" w:hAnsiTheme="majorHAnsi" w:cstheme="majorHAnsi"/>
        </w:rPr>
        <w:t>Diriöz</w:t>
      </w:r>
      <w:proofErr w:type="spellEnd"/>
      <w:r w:rsidRPr="00B57E20">
        <w:rPr>
          <w:rFonts w:asciiTheme="majorHAnsi" w:hAnsiTheme="majorHAnsi" w:cstheme="majorHAnsi"/>
        </w:rPr>
        <w:t xml:space="preserve">, A. O. (2026, 16 Nisan). </w:t>
      </w:r>
      <w:r w:rsidRPr="00B57E20">
        <w:rPr>
          <w:rFonts w:asciiTheme="majorHAnsi" w:hAnsiTheme="majorHAnsi" w:cstheme="majorHAnsi"/>
          <w:i/>
          <w:iCs/>
        </w:rPr>
        <w:t>Gümrük Birliği güncellemesi Türkiye için zorunlu hale geldi</w:t>
      </w:r>
      <w:r w:rsidRPr="00B57E20">
        <w:rPr>
          <w:rFonts w:asciiTheme="majorHAnsi" w:hAnsiTheme="majorHAnsi" w:cstheme="majorHAnsi"/>
        </w:rPr>
        <w:t xml:space="preserve"> [Röportaj: GZT.com]. TOBB Ekonomi ve Teknoloji Üniversitesi. https://www.gzt.com/ekonomi/gumruk-birligi-guncellemesi-turkiye-icin-zorunlu-hale-geldi-4207647</w:t>
      </w:r>
    </w:p>
    <w:p w14:paraId="169D15C1" w14:textId="77777777" w:rsidR="000A441B" w:rsidRPr="00B57E20" w:rsidRDefault="00000000" w:rsidP="000B476A">
      <w:pPr>
        <w:pStyle w:val="GvdeMetni"/>
        <w:jc w:val="both"/>
        <w:rPr>
          <w:rFonts w:asciiTheme="majorHAnsi" w:hAnsiTheme="majorHAnsi" w:cstheme="majorHAnsi"/>
        </w:rPr>
      </w:pPr>
      <w:proofErr w:type="spellStart"/>
      <w:r w:rsidRPr="00B57E20">
        <w:rPr>
          <w:rFonts w:asciiTheme="majorHAnsi" w:hAnsiTheme="majorHAnsi" w:cstheme="majorHAnsi"/>
        </w:rPr>
        <w:t>İktisadi</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Kalkınma</w:t>
      </w:r>
      <w:proofErr w:type="spellEnd"/>
      <w:r w:rsidRPr="00B57E20">
        <w:rPr>
          <w:rFonts w:asciiTheme="majorHAnsi" w:hAnsiTheme="majorHAnsi" w:cstheme="majorHAnsi"/>
        </w:rPr>
        <w:t xml:space="preserve"> </w:t>
      </w:r>
      <w:proofErr w:type="spellStart"/>
      <w:r w:rsidRPr="00B57E20">
        <w:rPr>
          <w:rFonts w:asciiTheme="majorHAnsi" w:hAnsiTheme="majorHAnsi" w:cstheme="majorHAnsi"/>
        </w:rPr>
        <w:t>Vakfı</w:t>
      </w:r>
      <w:proofErr w:type="spellEnd"/>
      <w:r w:rsidRPr="00B57E20">
        <w:rPr>
          <w:rFonts w:asciiTheme="majorHAnsi" w:hAnsiTheme="majorHAnsi" w:cstheme="majorHAnsi"/>
        </w:rPr>
        <w:t xml:space="preserve"> (İKV). (2025). </w:t>
      </w:r>
      <w:r w:rsidRPr="00B57E20">
        <w:rPr>
          <w:rFonts w:asciiTheme="majorHAnsi" w:hAnsiTheme="majorHAnsi" w:cstheme="majorHAnsi"/>
          <w:i/>
          <w:iCs/>
        </w:rPr>
        <w:t>Gümrük Birliği</w:t>
      </w:r>
      <w:r w:rsidRPr="00B57E20">
        <w:rPr>
          <w:rFonts w:asciiTheme="majorHAnsi" w:hAnsiTheme="majorHAnsi" w:cstheme="majorHAnsi"/>
        </w:rPr>
        <w:t>. https://www.ikv.org.tr/ikv.asp?ust_id=4&amp;id=38</w:t>
      </w:r>
    </w:p>
    <w:p w14:paraId="169D15C2"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İktisadi Kalkınma Vakfı (İKV). (2025a). </w:t>
      </w:r>
      <w:r w:rsidRPr="00B57E20">
        <w:rPr>
          <w:rFonts w:asciiTheme="majorHAnsi" w:hAnsiTheme="majorHAnsi" w:cstheme="majorHAnsi"/>
          <w:i/>
          <w:iCs/>
        </w:rPr>
        <w:t>Türkiye’nin 2024 Dış Ticaret Verilerine İlişkin Bilgi Notu</w:t>
      </w:r>
      <w:r w:rsidRPr="00B57E20">
        <w:rPr>
          <w:rFonts w:asciiTheme="majorHAnsi" w:hAnsiTheme="majorHAnsi" w:cstheme="majorHAnsi"/>
        </w:rPr>
        <w:t>. https://www.ikv.org.tr/ikv.asp?lng=tr&amp;id=9313</w:t>
      </w:r>
    </w:p>
    <w:p w14:paraId="169D15C3"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İktisadi Kalkınma Vakfı (İKV). (2025b). </w:t>
      </w:r>
      <w:r w:rsidRPr="00B57E20">
        <w:rPr>
          <w:rFonts w:asciiTheme="majorHAnsi" w:hAnsiTheme="majorHAnsi" w:cstheme="majorHAnsi"/>
          <w:i/>
          <w:iCs/>
        </w:rPr>
        <w:t>Türkiye’nin AB pazarında yükselen ihracat sektörleri değerlendirme notu</w:t>
      </w:r>
      <w:r w:rsidRPr="00B57E20">
        <w:rPr>
          <w:rFonts w:asciiTheme="majorHAnsi" w:hAnsiTheme="majorHAnsi" w:cstheme="majorHAnsi"/>
        </w:rPr>
        <w:t>. https://ikv.org.tr/ikv.asp?id=9671&amp;lng=tr&amp;ust_id=9285</w:t>
      </w:r>
    </w:p>
    <w:p w14:paraId="169D15C4"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İktisadi Kalkınma Vakfı (İKV). (2026, 28 Ocak). </w:t>
      </w:r>
      <w:r w:rsidRPr="00B57E20">
        <w:rPr>
          <w:rFonts w:asciiTheme="majorHAnsi" w:hAnsiTheme="majorHAnsi" w:cstheme="majorHAnsi"/>
          <w:i/>
          <w:iCs/>
        </w:rPr>
        <w:t>AB-Hindistan anlaşmasının sonuçları Türkiye açısından olumsuz olacak</w:t>
      </w:r>
      <w:r w:rsidRPr="00B57E20">
        <w:rPr>
          <w:rFonts w:asciiTheme="majorHAnsi" w:hAnsiTheme="majorHAnsi" w:cstheme="majorHAnsi"/>
        </w:rPr>
        <w:t>. https://www.ikv.org.tr/ikv.asp?lng=tr&amp;ust_id=9878&amp;id=9915</w:t>
      </w:r>
    </w:p>
    <w:p w14:paraId="169D15C5"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Oduncu, A., Kilinç, Z., &amp; Mavuş, M. (2015). </w:t>
      </w:r>
      <w:r w:rsidRPr="00B57E20">
        <w:rPr>
          <w:rFonts w:asciiTheme="majorHAnsi" w:hAnsiTheme="majorHAnsi" w:cstheme="majorHAnsi"/>
          <w:i/>
          <w:iCs/>
        </w:rPr>
        <w:t>AB-ABD Serbest Ticaret Anlaşması ve Türkiye üzerine etkileri</w:t>
      </w:r>
      <w:r w:rsidRPr="00B57E20">
        <w:rPr>
          <w:rFonts w:asciiTheme="majorHAnsi" w:hAnsiTheme="majorHAnsi" w:cstheme="majorHAnsi"/>
        </w:rPr>
        <w:t xml:space="preserve"> [TCMB Ekonomi Notu]. Türkiye Cumhuriyet Merkez Bankası. https://ideas.repec.org/p/tcb/econot/1330.html</w:t>
      </w:r>
    </w:p>
    <w:p w14:paraId="169D15C7"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T.C. Avrupa Birliği Bakanlığı. (2020). </w:t>
      </w:r>
      <w:r w:rsidRPr="00B57E20">
        <w:rPr>
          <w:rFonts w:asciiTheme="majorHAnsi" w:hAnsiTheme="majorHAnsi" w:cstheme="majorHAnsi"/>
          <w:i/>
          <w:iCs/>
        </w:rPr>
        <w:t>Gümrük Birliği</w:t>
      </w:r>
      <w:r w:rsidRPr="00B57E20">
        <w:rPr>
          <w:rFonts w:asciiTheme="majorHAnsi" w:hAnsiTheme="majorHAnsi" w:cstheme="majorHAnsi"/>
        </w:rPr>
        <w:t>. https://www.ab.gov.tr/gumruk-birligi_46234.html</w:t>
      </w:r>
    </w:p>
    <w:p w14:paraId="169D15C8"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T.C. Dışişleri Bakanlığı. (2020). </w:t>
      </w:r>
      <w:r w:rsidRPr="00B57E20">
        <w:rPr>
          <w:rFonts w:asciiTheme="majorHAnsi" w:hAnsiTheme="majorHAnsi" w:cstheme="majorHAnsi"/>
          <w:i/>
          <w:iCs/>
        </w:rPr>
        <w:t>Türkiye ile ABD arasında olası bir Serbest Ticaret Anlaşmasının, Dünya Ticaret Örgütü ve Avrupa Birliği çerçevesindeki yükümlülüklerimiz açısından incelenmesi</w:t>
      </w:r>
      <w:r w:rsidRPr="00B57E20">
        <w:rPr>
          <w:rFonts w:asciiTheme="majorHAnsi" w:hAnsiTheme="majorHAnsi" w:cstheme="majorHAnsi"/>
        </w:rPr>
        <w:t>. https://www.mfa.gov.tr/turkiye-ile-abd-arasinda-olasi-bir-serbest-ticaret-anlasmasinin_-dunya-ticaret-orgutu-ve-avrupa-birligi-cercevesindeki-yukumluluklerimiz-acisindan-incelenmesi.tr.mfa</w:t>
      </w:r>
    </w:p>
    <w:p w14:paraId="169D15C9"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T.C. Ticaret Bakanlığı. (2023). </w:t>
      </w:r>
      <w:r w:rsidRPr="00B57E20">
        <w:rPr>
          <w:rFonts w:asciiTheme="majorHAnsi" w:hAnsiTheme="majorHAnsi" w:cstheme="majorHAnsi"/>
          <w:i/>
          <w:iCs/>
        </w:rPr>
        <w:t>Gümrük Birliğinin güncelleme süreci</w:t>
      </w:r>
      <w:r w:rsidRPr="00B57E20">
        <w:rPr>
          <w:rFonts w:asciiTheme="majorHAnsi" w:hAnsiTheme="majorHAnsi" w:cstheme="majorHAnsi"/>
        </w:rPr>
        <w:t>. https://ticaret.gov.tr/dis-iliskiler/avrupa-birligi/gumruk-birliginin-guncelleme-sureci</w:t>
      </w:r>
    </w:p>
    <w:p w14:paraId="169D15CA"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T.C. Ticaret Bakanlığı. (2025). </w:t>
      </w:r>
      <w:r w:rsidRPr="00B57E20">
        <w:rPr>
          <w:rFonts w:asciiTheme="majorHAnsi" w:hAnsiTheme="majorHAnsi" w:cstheme="majorHAnsi"/>
          <w:i/>
          <w:iCs/>
        </w:rPr>
        <w:t>ABD tarafından açıklanan yeni gümrük vergilerinde Türkiye pozitif ayrıştı</w:t>
      </w:r>
      <w:r w:rsidRPr="00B57E20">
        <w:rPr>
          <w:rFonts w:asciiTheme="majorHAnsi" w:hAnsiTheme="majorHAnsi" w:cstheme="majorHAnsi"/>
        </w:rPr>
        <w:t>. https://ticaret.gov.tr/haberler/abd-tarafindan-aciklanan-yeni-gumruk-vergilerinde-turkiye-pozitif-ayristi</w:t>
      </w:r>
    </w:p>
    <w:p w14:paraId="169D15CB"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TEPAV (Türkiye Ekonomi Politikaları Araştırma Vakfı). (2025, 22 Ağustos). </w:t>
      </w:r>
      <w:r w:rsidRPr="00B57E20">
        <w:rPr>
          <w:rFonts w:asciiTheme="majorHAnsi" w:hAnsiTheme="majorHAnsi" w:cstheme="majorHAnsi"/>
          <w:i/>
          <w:iCs/>
        </w:rPr>
        <w:t>AB-ABD ticaret anlaşmasının Türkiye’ye etkileri</w:t>
      </w:r>
      <w:r w:rsidRPr="00B57E20">
        <w:rPr>
          <w:rFonts w:asciiTheme="majorHAnsi" w:hAnsiTheme="majorHAnsi" w:cstheme="majorHAnsi"/>
        </w:rPr>
        <w:t>. https://tepav.org.tr/tr/blog/s/7638</w:t>
      </w:r>
    </w:p>
    <w:p w14:paraId="169D15CC"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Türkiye İhracatçılar Meclisi (TİM). (2025). </w:t>
      </w:r>
      <w:r w:rsidRPr="00B57E20">
        <w:rPr>
          <w:rFonts w:asciiTheme="majorHAnsi" w:hAnsiTheme="majorHAnsi" w:cstheme="majorHAnsi"/>
          <w:i/>
          <w:iCs/>
        </w:rPr>
        <w:t>İhracat 2025 raporu</w:t>
      </w:r>
      <w:r w:rsidRPr="00B57E20">
        <w:rPr>
          <w:rFonts w:asciiTheme="majorHAnsi" w:hAnsiTheme="majorHAnsi" w:cstheme="majorHAnsi"/>
        </w:rPr>
        <w:t>. https://tim.org.tr/files/downloads/Strateji_Raporlari/Ihracat2025Raporu.pdf</w:t>
      </w:r>
    </w:p>
    <w:p w14:paraId="169D15CD" w14:textId="77777777" w:rsidR="000A441B" w:rsidRPr="00B57E20" w:rsidRDefault="00000000" w:rsidP="000B476A">
      <w:pPr>
        <w:pStyle w:val="GvdeMetni"/>
        <w:jc w:val="both"/>
        <w:rPr>
          <w:rFonts w:asciiTheme="majorHAnsi" w:hAnsiTheme="majorHAnsi" w:cstheme="majorHAnsi"/>
        </w:rPr>
      </w:pPr>
      <w:r w:rsidRPr="00B57E20">
        <w:rPr>
          <w:rFonts w:asciiTheme="majorHAnsi" w:hAnsiTheme="majorHAnsi" w:cstheme="majorHAnsi"/>
        </w:rPr>
        <w:t xml:space="preserve">Viner, J. (1950). </w:t>
      </w:r>
      <w:r w:rsidRPr="00B57E20">
        <w:rPr>
          <w:rFonts w:asciiTheme="majorHAnsi" w:hAnsiTheme="majorHAnsi" w:cstheme="majorHAnsi"/>
          <w:i/>
          <w:iCs/>
        </w:rPr>
        <w:t>The customs union issue</w:t>
      </w:r>
      <w:r w:rsidRPr="00B57E20">
        <w:rPr>
          <w:rFonts w:asciiTheme="majorHAnsi" w:hAnsiTheme="majorHAnsi" w:cstheme="majorHAnsi"/>
        </w:rPr>
        <w:t>. Carnegie Endowment for International Peace.</w:t>
      </w:r>
    </w:p>
    <w:p w14:paraId="169D15CE" w14:textId="2A4009E9" w:rsidR="000A441B" w:rsidRPr="00B57E20" w:rsidRDefault="000A441B">
      <w:pPr>
        <w:rPr>
          <w:rFonts w:asciiTheme="majorHAnsi" w:hAnsiTheme="majorHAnsi" w:cstheme="majorHAnsi"/>
        </w:rPr>
      </w:pPr>
    </w:p>
    <w:p w14:paraId="169D15CF" w14:textId="77777777" w:rsidR="000A441B" w:rsidRPr="00B57E20" w:rsidRDefault="00000000">
      <w:pPr>
        <w:pStyle w:val="FirstParagraph"/>
        <w:rPr>
          <w:rFonts w:asciiTheme="majorHAnsi" w:hAnsiTheme="majorHAnsi" w:cstheme="majorHAnsi"/>
        </w:rPr>
      </w:pPr>
      <w:r w:rsidRPr="00B57E20">
        <w:rPr>
          <w:rFonts w:asciiTheme="majorHAnsi" w:hAnsiTheme="majorHAnsi" w:cstheme="majorHAnsi"/>
          <w:i/>
          <w:iCs/>
        </w:rPr>
        <w:lastRenderedPageBreak/>
        <w:t>Bu makale, Doç. Dr. Ebru Gül Yılmaz tarafından EkoTürk TV Küresel Bakış programı analiz notu olarak hazırlanmıştır. Temmuz 2026.</w:t>
      </w:r>
      <w:bookmarkEnd w:id="0"/>
      <w:bookmarkEnd w:id="21"/>
    </w:p>
    <w:sectPr w:rsidR="000A441B" w:rsidRPr="00B57E2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82F99" w14:textId="77777777" w:rsidR="004000DE" w:rsidRDefault="004000DE">
      <w:pPr>
        <w:spacing w:after="0"/>
      </w:pPr>
      <w:r>
        <w:separator/>
      </w:r>
    </w:p>
  </w:endnote>
  <w:endnote w:type="continuationSeparator" w:id="0">
    <w:p w14:paraId="4D05C0EE" w14:textId="77777777" w:rsidR="004000DE" w:rsidRDefault="004000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nsolas">
    <w:panose1 w:val="020B0609020204030204"/>
    <w:charset w:val="A2"/>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1FBA3" w14:textId="77777777" w:rsidR="004000DE" w:rsidRDefault="004000DE">
      <w:r>
        <w:separator/>
      </w:r>
    </w:p>
  </w:footnote>
  <w:footnote w:type="continuationSeparator" w:id="0">
    <w:p w14:paraId="7838EB39" w14:textId="77777777" w:rsidR="004000DE" w:rsidRDefault="00400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69664F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541286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441B"/>
    <w:rsid w:val="000A441B"/>
    <w:rsid w:val="000B476A"/>
    <w:rsid w:val="00106025"/>
    <w:rsid w:val="004000DE"/>
    <w:rsid w:val="004F17E8"/>
    <w:rsid w:val="008E205F"/>
    <w:rsid w:val="00B07EB6"/>
    <w:rsid w:val="00B57E20"/>
    <w:rsid w:val="00CA6E82"/>
    <w:rsid w:val="00E3431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156E"/>
  <w15:docId w15:val="{7E2702C4-2337-41B2-8A1B-876DD150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Balk1">
    <w:name w:val="heading 1"/>
    <w:basedOn w:val="Normal"/>
    <w:next w:val="GvdeMetni"/>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Balk2">
    <w:name w:val="heading 2"/>
    <w:basedOn w:val="Normal"/>
    <w:next w:val="GvdeMetni"/>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Balk3">
    <w:name w:val="heading 3"/>
    <w:basedOn w:val="Normal"/>
    <w:next w:val="GvdeMetni"/>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GvdeMetni"/>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Balk5">
    <w:name w:val="heading 5"/>
    <w:basedOn w:val="Normal"/>
    <w:next w:val="GvdeMetni"/>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Balk6">
    <w:name w:val="heading 6"/>
    <w:basedOn w:val="Normal"/>
    <w:next w:val="GvdeMetni"/>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alk7">
    <w:name w:val="heading 7"/>
    <w:basedOn w:val="Normal"/>
    <w:next w:val="GvdeMetni"/>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alk8">
    <w:name w:val="heading 8"/>
    <w:basedOn w:val="Normal"/>
    <w:next w:val="GvdeMetni"/>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alk9">
    <w:name w:val="heading 9"/>
    <w:basedOn w:val="Normal"/>
    <w:next w:val="GvdeMetni"/>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ltyaz">
    <w:name w:val="Subtitle"/>
    <w:basedOn w:val="KonuBal"/>
    <w:next w:val="GvdeMetni"/>
    <w:qFormat/>
    <w:pPr>
      <w:spacing w:before="240"/>
    </w:pPr>
    <w:rPr>
      <w:sz w:val="30"/>
      <w:szCs w:val="30"/>
    </w:rPr>
  </w:style>
  <w:style w:type="paragraph" w:customStyle="1" w:styleId="Author">
    <w:name w:val="Author"/>
    <w:next w:val="GvdeMetni"/>
    <w:qFormat/>
    <w:pPr>
      <w:keepNext/>
      <w:keepLines/>
      <w:jc w:val="center"/>
    </w:pPr>
  </w:style>
  <w:style w:type="paragraph" w:styleId="Tarih">
    <w:name w:val="Date"/>
    <w:next w:val="GvdeMetni"/>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GvdeMetni"/>
    <w:qFormat/>
    <w:pPr>
      <w:keepNext/>
      <w:keepLines/>
      <w:spacing w:before="100" w:after="300"/>
    </w:pPr>
    <w:rPr>
      <w:sz w:val="20"/>
      <w:szCs w:val="20"/>
    </w:rPr>
  </w:style>
  <w:style w:type="paragraph" w:styleId="Kaynaka">
    <w:name w:val="Bibliography"/>
    <w:basedOn w:val="Normal"/>
    <w:qFormat/>
  </w:style>
  <w:style w:type="paragraph" w:styleId="bekMetni">
    <w:name w:val="Block Text"/>
    <w:basedOn w:val="GvdeMetni"/>
    <w:next w:val="GvdeMetni"/>
    <w:uiPriority w:val="9"/>
    <w:unhideWhenUsed/>
    <w:qFormat/>
    <w:pPr>
      <w:spacing w:before="100" w:after="100"/>
      <w:ind w:left="480" w:right="480"/>
    </w:pPr>
  </w:style>
  <w:style w:type="paragraph" w:styleId="DipnotMetni">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Consolas" w:hAnsi="Consolas"/>
      <w:sz w:val="22"/>
    </w:rPr>
  </w:style>
  <w:style w:type="character" w:customStyle="1" w:styleId="SectionNumber">
    <w:name w:val="Section Number"/>
    <w:basedOn w:val="ResimYazsChar"/>
  </w:style>
  <w:style w:type="character" w:styleId="DipnotBavurusu">
    <w:name w:val="footnote reference"/>
    <w:basedOn w:val="ResimYazsChar"/>
    <w:rPr>
      <w:vertAlign w:val="superscript"/>
    </w:rPr>
  </w:style>
  <w:style w:type="character" w:styleId="Kpr">
    <w:name w:val="Hyperlink"/>
    <w:basedOn w:val="ResimYazsChar"/>
    <w:rPr>
      <w:color w:val="4F81BD" w:themeColor="accent1"/>
    </w:rPr>
  </w:style>
  <w:style w:type="paragraph" w:styleId="TBal">
    <w:name w:val="TOC Heading"/>
    <w:basedOn w:val="Balk1"/>
    <w:next w:val="GvdeMetni"/>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2689</Words>
  <Characters>15329</Characters>
  <Application>Microsoft Office Word</Application>
  <DocSecurity>0</DocSecurity>
  <Lines>127</Lines>
  <Paragraphs>35</Paragraphs>
  <ScaleCrop>false</ScaleCrop>
  <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ebru gül yılmaz</cp:lastModifiedBy>
  <cp:revision>8</cp:revision>
  <dcterms:created xsi:type="dcterms:W3CDTF">2026-07-02T08:09:00Z</dcterms:created>
  <dcterms:modified xsi:type="dcterms:W3CDTF">2026-07-06T07:26:00Z</dcterms:modified>
</cp:coreProperties>
</file>