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6B0455" w:rsidRPr="003264AC" w:rsidP="00E2381F" w14:paraId="5AE90F3C" w14:textId="369BB1A6">
      <w:pPr>
        <w:tabs>
          <w:tab w:val="left" w:pos="636"/>
          <w:tab w:val="center" w:pos="4536"/>
        </w:tabs>
        <w:spacing w:after="0" w:line="276" w:lineRule="auto"/>
        <w:jc w:val="center"/>
        <w:rPr>
          <w:rFonts w:ascii="Times New Roman" w:eastAsia="Arial" w:hAnsi="Times New Roman" w:cs="Times New Roman"/>
          <w:b/>
          <w:color w:val="002060"/>
          <w:sz w:val="24"/>
          <w:szCs w:val="28"/>
        </w:rPr>
      </w:pPr>
      <w:r w:rsidRPr="00503519">
        <w:rPr>
          <w:rFonts w:ascii="Times New Roman" w:eastAsia="Arial"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-69215</wp:posOffset>
            </wp:positionH>
            <wp:positionV relativeFrom="paragraph">
              <wp:posOffset>-213995</wp:posOffset>
            </wp:positionV>
            <wp:extent cx="1007745" cy="1007745"/>
            <wp:effectExtent l="0" t="0" r="1905" b="1905"/>
            <wp:wrapNone/>
            <wp:docPr id="2" name="Resim 2" descr="\\igu.local\OrtakNokta\KLK_Genel\logolar\GELISIM-UNIVERSITESI-LOGO (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gu.local\OrtakNokta\KLK_Genel\logolar\GELISIM-UNIVERSITESI-LOGO (3)-10.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774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64AC">
        <w:rPr>
          <w:rFonts w:ascii="Times New Roman" w:eastAsia="Arial" w:hAnsi="Times New Roman" w:cs="Times New Roman"/>
          <w:b/>
          <w:color w:val="002060"/>
          <w:sz w:val="24"/>
          <w:szCs w:val="28"/>
        </w:rPr>
        <w:t>T.C.</w:t>
      </w:r>
    </w:p>
    <w:p w:rsidR="003264AC" w:rsidRPr="003264AC" w:rsidP="003264AC" w14:paraId="2331B928" w14:textId="1DAE9624">
      <w:pPr>
        <w:spacing w:after="0" w:line="276" w:lineRule="auto"/>
        <w:jc w:val="center"/>
        <w:rPr>
          <w:rFonts w:ascii="Times New Roman" w:eastAsia="Arial" w:hAnsi="Times New Roman" w:cs="Times New Roman"/>
          <w:b/>
          <w:color w:val="002060"/>
          <w:sz w:val="24"/>
          <w:szCs w:val="28"/>
        </w:rPr>
      </w:pPr>
      <w:r w:rsidR="005972D1">
        <w:rPr>
          <w:rFonts w:ascii="Times New Roman" w:eastAsia="Arial" w:hAnsi="Times New Roman" w:cs="Times New Roman"/>
          <w:b/>
          <w:color w:val="002060"/>
          <w:sz w:val="24"/>
          <w:szCs w:val="28"/>
        </w:rPr>
        <w:t>İSTANBUL GELİŞİM ÜNİVERSİTESİ REKTÖRLÜĞÜ</w:t>
      </w:r>
    </w:p>
    <w:p w:rsidR="006B0455" w:rsidRPr="003264AC" w:rsidP="006B0455" w14:paraId="6DAE48DE" w14:textId="44E73CF0">
      <w:pPr>
        <w:spacing w:after="0" w:line="276" w:lineRule="auto"/>
        <w:jc w:val="center"/>
        <w:rPr>
          <w:rFonts w:ascii="Times New Roman" w:eastAsia="Arial" w:hAnsi="Times New Roman" w:cs="Times New Roman"/>
          <w:b/>
          <w:color w:val="002060"/>
          <w:sz w:val="24"/>
          <w:szCs w:val="28"/>
        </w:rPr>
      </w:pPr>
      <w:r>
        <w:rPr>
          <w:rFonts w:ascii="Times New Roman" w:eastAsia="Arial" w:hAnsi="Times New Roman" w:cs="Times New Roman"/>
          <w:b/>
          <w:color w:val="002060"/>
          <w:sz w:val="24"/>
          <w:szCs w:val="28"/>
        </w:rPr>
        <w:t>Açık Çevrimiçi Kurs Politikası</w:t>
      </w:r>
    </w:p>
    <w:p w:rsidR="006B0455" w:rsidRPr="009A5640" w:rsidP="005D7DA5" w14:paraId="5B767616" w14:textId="5D064E7C">
      <w:pPr>
        <w:spacing w:after="0" w:line="276" w:lineRule="auto"/>
        <w:rPr>
          <w:rFonts w:ascii="Times New Roman" w:eastAsia="Arial" w:hAnsi="Times New Roman" w:cs="Times New Roman"/>
          <w:b/>
          <w:sz w:val="24"/>
          <w:szCs w:val="28"/>
        </w:rPr>
      </w:pPr>
    </w:p>
    <w:p w:rsidR="005D7DA5" w:rsidRPr="009A5640" w:rsidP="005D7DA5" w14:paraId="55FDCCD4" w14:textId="77777777">
      <w:pPr>
        <w:spacing w:after="0" w:line="276" w:lineRule="auto"/>
        <w:rPr>
          <w:rFonts w:ascii="Times New Roman" w:eastAsia="Arial" w:hAnsi="Times New Roman" w:cs="Times New Roman"/>
          <w:b/>
          <w:sz w:val="24"/>
          <w:szCs w:val="28"/>
        </w:rPr>
      </w:pPr>
    </w:p>
    <w:p w:rsidR="005972D1" w:rsidRPr="00A82DCE" w:rsidP="00BA10D8" w14:paraId="41FFE298" w14:textId="77777777">
      <w:pPr>
        <w:spacing w:after="0" w:line="360" w:lineRule="auto"/>
        <w:jc w:val="both"/>
        <w:rPr>
          <w:rFonts w:ascii="Times New Roman" w:eastAsia="Arial" w:hAnsi="Times New Roman" w:cs="Times New Roman"/>
          <w:color w:val="1F284C"/>
          <w:sz w:val="24"/>
          <w:szCs w:val="24"/>
        </w:rPr>
      </w:pPr>
      <w:r w:rsidRPr="00A82DCE">
        <w:rPr>
          <w:rFonts w:ascii="Times New Roman" w:eastAsia="Arial" w:hAnsi="Times New Roman" w:cs="Times New Roman"/>
          <w:color w:val="1F284C"/>
          <w:sz w:val="24"/>
          <w:szCs w:val="24"/>
        </w:rPr>
        <w:t>İstanbul Gelişim Üniversitesi üniversite bünyesinde sunulan açık çevrimiçi eğitim hizmeti ile kitlesel tüm katılımcılara sürdürülebilir hayat boyu öğrenmeyi Üniversitenin topluma katkı hedefleri doğrultusunda açık çevrimiçi eğitim hizmeti ile e-öğrenme teknolojilerden faydalanarak verimli ve sürekliliği ilke edinerek uzaktan eğitim kanalı ile eğitimde fırsat eşitliğini amaçlamaktadır.</w:t>
      </w:r>
    </w:p>
    <w:p w:rsidR="005972D1" w:rsidRPr="00A82DCE" w:rsidP="00BA10D8" w14:paraId="0C4676B3" w14:textId="72CD240D">
      <w:pPr>
        <w:spacing w:after="0" w:line="360" w:lineRule="auto"/>
        <w:jc w:val="both"/>
        <w:rPr>
          <w:rFonts w:ascii="Times New Roman" w:eastAsia="Arial" w:hAnsi="Times New Roman" w:cs="Times New Roman"/>
          <w:color w:val="1F284C"/>
          <w:sz w:val="24"/>
          <w:szCs w:val="24"/>
        </w:rPr>
      </w:pPr>
      <w:r w:rsidRPr="00A82DCE">
        <w:rPr>
          <w:rFonts w:ascii="Times New Roman" w:eastAsia="Arial" w:hAnsi="Times New Roman" w:cs="Times New Roman"/>
          <w:color w:val="1F284C"/>
          <w:sz w:val="24"/>
          <w:szCs w:val="24"/>
        </w:rPr>
        <w:t>Açık çevrimiçi eğitim programlarının ücretsiz olması, maddi imkân bakımından eğitimine ekstra kaynak ayıramayacak toplumsal kitlelerinde bu sürece dâhil olmasının önünü açmaktadır. Kişisel gelişimi noktasında adım atmak isteyen ancak maddi ya da diğer sebepler nedeniyle bunu gerçekleştirememiş olan kişilere bu noktada fırsat sunmaktadır. Açık çevrimiçi eğitim programları fiziksel olarak engeli bulunan toplum kesimlerinin günümüz teknolojilerinin sağladığı fırsatlardan yararlanarak zaman ve mekân kısıtı olmadan süreçlere dâhil olmasını sağlamaktadır.</w:t>
      </w:r>
    </w:p>
    <w:p w:rsidR="005972D1" w:rsidP="00BA10D8" w14:paraId="12A2C6EA" w14:textId="289C0A70">
      <w:pPr>
        <w:spacing w:after="0" w:line="360" w:lineRule="auto"/>
        <w:jc w:val="both"/>
        <w:rPr>
          <w:rFonts w:ascii="Times New Roman" w:eastAsia="Arial" w:hAnsi="Times New Roman" w:cs="Times New Roman"/>
          <w:color w:val="1F284C"/>
          <w:sz w:val="24"/>
          <w:szCs w:val="24"/>
        </w:rPr>
      </w:pPr>
      <w:r w:rsidRPr="00A82DCE">
        <w:rPr>
          <w:rFonts w:ascii="Times New Roman" w:eastAsia="Arial" w:hAnsi="Times New Roman" w:cs="Times New Roman"/>
          <w:color w:val="1F284C"/>
          <w:sz w:val="24"/>
          <w:szCs w:val="24"/>
        </w:rPr>
        <w:t>Üniversite topluma hizmet sorumluluğu kapsamında toplum içerisindeki tüm kesimlere ulaşmak ve toplumdaki bireylerin sürdürülebilir gelişme ağları içerisinde yer almasını sağlamayı hedeflemektedir.</w:t>
      </w:r>
    </w:p>
    <w:p w:rsidR="00DA34DE" w:rsidRPr="00A82DCE" w:rsidP="00BA10D8" w14:paraId="0549370B" w14:textId="77777777">
      <w:pPr>
        <w:spacing w:after="0" w:line="360" w:lineRule="auto"/>
        <w:jc w:val="both"/>
        <w:rPr>
          <w:rFonts w:ascii="Times New Roman" w:eastAsia="Arial" w:hAnsi="Times New Roman" w:cs="Times New Roman"/>
          <w:color w:val="1F284C"/>
          <w:sz w:val="24"/>
          <w:szCs w:val="24"/>
        </w:rPr>
      </w:pPr>
    </w:p>
    <w:p w:rsidR="005972D1" w:rsidRPr="00A82DCE" w:rsidP="00A82DCE" w14:paraId="1A4D0443" w14:textId="1653B9D2">
      <w:pPr>
        <w:spacing w:after="0" w:line="360" w:lineRule="auto"/>
        <w:jc w:val="both"/>
        <w:rPr>
          <w:rFonts w:ascii="Times New Roman" w:eastAsia="Arial" w:hAnsi="Times New Roman" w:cs="Times New Roman"/>
          <w:b/>
          <w:color w:val="1F284C"/>
          <w:sz w:val="24"/>
          <w:szCs w:val="24"/>
        </w:rPr>
      </w:pPr>
      <w:r w:rsidRPr="00A82DCE">
        <w:rPr>
          <w:rFonts w:ascii="Times New Roman" w:eastAsia="Arial" w:hAnsi="Times New Roman" w:cs="Times New Roman"/>
          <w:b/>
          <w:color w:val="1F284C"/>
          <w:sz w:val="24"/>
          <w:szCs w:val="24"/>
        </w:rPr>
        <w:t>Temel Değerler</w:t>
      </w:r>
    </w:p>
    <w:p w:rsidR="005972D1" w:rsidRPr="00A82DCE" w:rsidP="00A82DCE" w14:paraId="162CBE98" w14:textId="7D98731E">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Üniversitenin Açık Çevrimiçi Kurs Politikasının dayandığı temel değerler şunlardır:</w:t>
      </w:r>
    </w:p>
    <w:p w:rsidR="005972D1" w:rsidRPr="00A82DCE" w:rsidP="00A82DCE" w14:paraId="4B8BD6C0" w14:textId="240FF602">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b/>
          <w:color w:val="1F284C"/>
          <w:sz w:val="24"/>
          <w:szCs w:val="24"/>
        </w:rPr>
        <w:t>1. İnsanlığa Hizmet:</w:t>
      </w:r>
      <w:r w:rsidRPr="00A82DCE">
        <w:rPr>
          <w:rFonts w:ascii="Times New Roman" w:eastAsia="Roboto" w:hAnsi="Times New Roman" w:cs="Times New Roman"/>
          <w:color w:val="1F284C"/>
          <w:sz w:val="24"/>
          <w:szCs w:val="24"/>
        </w:rPr>
        <w:t xml:space="preserve"> Üniversite yürüttüğü faaliyetler ve topluma verdiği mesajlar ile insanlığa katkıda bulunur.</w:t>
      </w:r>
    </w:p>
    <w:p w:rsidR="005972D1" w:rsidRPr="00A82DCE" w:rsidP="00A82DCE" w14:paraId="4EBA4E74" w14:textId="28C9BC6E">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b/>
          <w:color w:val="1F284C"/>
          <w:sz w:val="24"/>
          <w:szCs w:val="24"/>
        </w:rPr>
        <w:t>2. Topluma Hizmet:</w:t>
      </w:r>
      <w:r w:rsidRPr="00A82DCE">
        <w:rPr>
          <w:rFonts w:ascii="Times New Roman" w:eastAsia="Roboto" w:hAnsi="Times New Roman" w:cs="Times New Roman"/>
          <w:color w:val="1F284C"/>
          <w:sz w:val="24"/>
          <w:szCs w:val="24"/>
        </w:rPr>
        <w:t xml:space="preserve"> Üniversite verdiği eğitimlerle sadece kendi öğrencilerini ve paydaşlarını değil toplumun tüm kesimlerini hedef alır.</w:t>
      </w:r>
    </w:p>
    <w:p w:rsidR="00DA34DE" w:rsidP="00A82DCE" w14:paraId="3F00237E" w14:textId="0092DF53">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b/>
          <w:color w:val="1F284C"/>
          <w:sz w:val="24"/>
          <w:szCs w:val="24"/>
        </w:rPr>
        <w:t>3. Sürdürülebilir Gelişim:</w:t>
      </w:r>
      <w:r w:rsidRPr="00A82DCE">
        <w:rPr>
          <w:rFonts w:ascii="Times New Roman" w:eastAsia="Roboto" w:hAnsi="Times New Roman" w:cs="Times New Roman"/>
          <w:color w:val="1F284C"/>
          <w:sz w:val="24"/>
          <w:szCs w:val="24"/>
        </w:rPr>
        <w:t xml:space="preserve"> Bireylerin hayat boyu öğrenme ilkesi kapsamında zaman ve mekân kısıtına uğramadan sürekli ve kesintisiz eğitim ve öğrenme fırsatı oluşturmak.</w:t>
      </w:r>
    </w:p>
    <w:p w:rsidR="00DA34DE" w:rsidRPr="00A82DCE" w:rsidP="00A82DCE" w14:paraId="1D8E31B8" w14:textId="77777777">
      <w:pPr>
        <w:spacing w:after="0" w:line="360" w:lineRule="auto"/>
        <w:jc w:val="both"/>
        <w:rPr>
          <w:rFonts w:ascii="Times New Roman" w:eastAsia="Roboto" w:hAnsi="Times New Roman" w:cs="Times New Roman"/>
          <w:color w:val="1F284C"/>
          <w:sz w:val="24"/>
          <w:szCs w:val="24"/>
        </w:rPr>
      </w:pPr>
    </w:p>
    <w:p w:rsidR="005972D1" w:rsidRPr="00A82DCE" w:rsidP="00A82DCE" w14:paraId="3C9F8006" w14:textId="77777777">
      <w:pPr>
        <w:spacing w:after="0" w:line="360" w:lineRule="auto"/>
        <w:jc w:val="both"/>
        <w:rPr>
          <w:rFonts w:ascii="Times New Roman" w:eastAsia="Roboto" w:hAnsi="Times New Roman" w:cs="Times New Roman"/>
          <w:b/>
          <w:color w:val="1F284C"/>
          <w:sz w:val="24"/>
          <w:szCs w:val="24"/>
        </w:rPr>
      </w:pPr>
      <w:r w:rsidRPr="00A82DCE">
        <w:rPr>
          <w:rFonts w:ascii="Times New Roman" w:eastAsia="Roboto" w:hAnsi="Times New Roman" w:cs="Times New Roman"/>
          <w:b/>
          <w:color w:val="1F284C"/>
          <w:sz w:val="24"/>
          <w:szCs w:val="24"/>
        </w:rPr>
        <w:t>Açık Çevrimiçi Kurs Politikasının Stratejisi:</w:t>
      </w:r>
    </w:p>
    <w:p w:rsidR="005972D1" w:rsidRPr="00A82DCE" w:rsidP="00A82DCE" w14:paraId="4DFF3621" w14:textId="5F9384D5">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Bu değerler etrafında şekillenen Açık Çevrimiçi Kurs Politika stratejisinin temel taşları şunlardır:</w:t>
      </w:r>
    </w:p>
    <w:p w:rsidR="005972D1" w:rsidRPr="00A82DCE" w:rsidP="00A82DCE" w14:paraId="52CC628F" w14:textId="77777777">
      <w:pPr>
        <w:pStyle w:val="ListParagraph"/>
        <w:numPr>
          <w:ilvl w:val="0"/>
          <w:numId w:val="3"/>
        </w:numPr>
        <w:tabs>
          <w:tab w:val="left" w:pos="284"/>
        </w:tabs>
        <w:spacing w:after="0" w:line="360" w:lineRule="auto"/>
        <w:ind w:left="0" w:firstLine="0"/>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Toplumun tüm kesimlerine hitap edecek ücretsiz eğitimler düzenlemek.</w:t>
      </w:r>
    </w:p>
    <w:p w:rsidR="005972D1" w:rsidRPr="00A82DCE" w:rsidP="00CC4D7F" w14:paraId="05EDE83C" w14:textId="77777777">
      <w:pPr>
        <w:pStyle w:val="ListParagraph"/>
        <w:numPr>
          <w:ilvl w:val="0"/>
          <w:numId w:val="2"/>
        </w:numPr>
        <w:tabs>
          <w:tab w:val="left" w:pos="284"/>
        </w:tabs>
        <w:spacing w:after="0" w:line="360" w:lineRule="auto"/>
        <w:ind w:left="284" w:hanging="284"/>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Üniversite kendi kenti ya da dışındaki tüm alanlarda yaptığı araştırmalar ile tespit ettiği temel alanlardaki eğitim eksikliklerini ücretsiz gidermek adına topluma hizmet ilkesi kapsamında ücretsiz kurslar düzenler.</w:t>
      </w:r>
    </w:p>
    <w:p w:rsidR="005972D1" w:rsidRPr="00A82DCE" w:rsidP="00CC4D7F" w14:paraId="12F308F0" w14:textId="77777777">
      <w:pPr>
        <w:pStyle w:val="ListParagraph"/>
        <w:numPr>
          <w:ilvl w:val="0"/>
          <w:numId w:val="2"/>
        </w:numPr>
        <w:tabs>
          <w:tab w:val="left" w:pos="284"/>
        </w:tabs>
        <w:spacing w:after="0" w:line="360" w:lineRule="auto"/>
        <w:ind w:left="284" w:hanging="284"/>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Düzenlenen kurslar mesleki gelişim noktasında bireylere katkı sağladığı gibi sosyal anlamda da kişisel gelişimi destekleyici niteliktedir.</w:t>
      </w:r>
    </w:p>
    <w:p w:rsidR="005972D1" w:rsidRPr="00A82DCE" w:rsidP="00CC4D7F" w14:paraId="10AA8913" w14:textId="77777777">
      <w:pPr>
        <w:pStyle w:val="ListParagraph"/>
        <w:numPr>
          <w:ilvl w:val="0"/>
          <w:numId w:val="2"/>
        </w:numPr>
        <w:tabs>
          <w:tab w:val="left" w:pos="284"/>
        </w:tabs>
        <w:spacing w:after="0" w:line="360" w:lineRule="auto"/>
        <w:ind w:left="284" w:hanging="284"/>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Üniversite yaptığı faaliyetlerden tüm toplum kesimlerinin haber olması için çeşitli iletişim kanallarını kullanır.</w:t>
      </w:r>
    </w:p>
    <w:p w:rsidR="005972D1" w:rsidP="00CC4D7F" w14:paraId="389EAA1C" w14:textId="64D157FE">
      <w:pPr>
        <w:pStyle w:val="ListParagraph"/>
        <w:numPr>
          <w:ilvl w:val="0"/>
          <w:numId w:val="2"/>
        </w:numPr>
        <w:tabs>
          <w:tab w:val="left" w:pos="284"/>
        </w:tabs>
        <w:spacing w:after="0" w:line="360" w:lineRule="auto"/>
        <w:ind w:left="284" w:hanging="284"/>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Yapılacak faaliyetlere ilişkin olarak ilgili birim tarafından tüm paydaşlardan görüş alınarak Eylem Planı hazırlanır. Hazırlanan Eylem Planı’nın uygulanması ve denetlenmesi için komisyon kurulur.</w:t>
      </w:r>
    </w:p>
    <w:p w:rsidR="00DA34DE" w:rsidRPr="00A82DCE" w:rsidP="00DA34DE" w14:paraId="4E29918D" w14:textId="77777777">
      <w:pPr>
        <w:pStyle w:val="ListParagraph"/>
        <w:tabs>
          <w:tab w:val="left" w:pos="284"/>
        </w:tabs>
        <w:spacing w:after="0" w:line="360" w:lineRule="auto"/>
        <w:ind w:left="0"/>
        <w:jc w:val="both"/>
        <w:rPr>
          <w:rFonts w:ascii="Times New Roman" w:eastAsia="Roboto" w:hAnsi="Times New Roman" w:cs="Times New Roman"/>
          <w:color w:val="1F284C"/>
          <w:sz w:val="24"/>
          <w:szCs w:val="24"/>
        </w:rPr>
      </w:pPr>
    </w:p>
    <w:p w:rsidR="005972D1" w:rsidRPr="00A82DCE" w:rsidP="00A82DCE" w14:paraId="707A7129" w14:textId="77777777">
      <w:pPr>
        <w:spacing w:after="0" w:line="360" w:lineRule="auto"/>
        <w:jc w:val="both"/>
        <w:rPr>
          <w:rFonts w:ascii="Times New Roman" w:eastAsia="Roboto" w:hAnsi="Times New Roman" w:cs="Times New Roman"/>
          <w:b/>
          <w:color w:val="1F284C"/>
          <w:sz w:val="24"/>
          <w:szCs w:val="24"/>
        </w:rPr>
      </w:pPr>
      <w:r w:rsidRPr="00A82DCE">
        <w:rPr>
          <w:rFonts w:ascii="Times New Roman" w:eastAsia="Roboto" w:hAnsi="Times New Roman" w:cs="Times New Roman"/>
          <w:b/>
          <w:color w:val="1F284C"/>
          <w:sz w:val="24"/>
          <w:szCs w:val="24"/>
        </w:rPr>
        <w:t>Açık Çevrimiçi Kurs Politikasının Hedefleri:</w:t>
      </w:r>
    </w:p>
    <w:p w:rsidR="005972D1" w:rsidRPr="00A82DCE" w:rsidP="00A82DCE" w14:paraId="2454388B" w14:textId="11D28936">
      <w:pPr>
        <w:pStyle w:val="ListParagraph"/>
        <w:numPr>
          <w:ilvl w:val="0"/>
          <w:numId w:val="4"/>
        </w:numPr>
        <w:tabs>
          <w:tab w:val="left" w:pos="284"/>
        </w:tabs>
        <w:spacing w:after="0" w:line="360" w:lineRule="auto"/>
        <w:ind w:left="0" w:firstLine="0"/>
        <w:jc w:val="both"/>
        <w:rPr>
          <w:rFonts w:ascii="Times New Roman" w:eastAsia="Roboto" w:hAnsi="Times New Roman" w:cs="Times New Roman"/>
          <w:color w:val="1F284C"/>
          <w:sz w:val="24"/>
          <w:szCs w:val="24"/>
        </w:rPr>
      </w:pPr>
      <w:r w:rsidRPr="00A82DCE" w:rsidR="00DB2928">
        <w:rPr>
          <w:rFonts w:ascii="Times New Roman" w:eastAsia="Roboto" w:hAnsi="Times New Roman" w:cs="Times New Roman"/>
          <w:color w:val="1F284C"/>
          <w:sz w:val="24"/>
          <w:szCs w:val="24"/>
        </w:rPr>
        <w:t>Topluma Hizmet ilkesinin gerekliliğini yerine getirmek,</w:t>
      </w:r>
    </w:p>
    <w:p w:rsidR="005972D1" w:rsidRPr="00A82DCE" w:rsidP="00A82DCE" w14:paraId="4E09EFB5" w14:textId="6F4ECF80">
      <w:pPr>
        <w:pStyle w:val="ListParagraph"/>
        <w:numPr>
          <w:ilvl w:val="0"/>
          <w:numId w:val="4"/>
        </w:numPr>
        <w:tabs>
          <w:tab w:val="left" w:pos="284"/>
        </w:tabs>
        <w:spacing w:after="0" w:line="360" w:lineRule="auto"/>
        <w:ind w:left="0" w:firstLine="0"/>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Toplumun tüm ke</w:t>
      </w:r>
      <w:bookmarkStart w:id="0" w:name="_GoBack"/>
      <w:bookmarkEnd w:id="0"/>
      <w:r w:rsidRPr="00A82DCE">
        <w:rPr>
          <w:rFonts w:ascii="Times New Roman" w:eastAsia="Roboto" w:hAnsi="Times New Roman" w:cs="Times New Roman"/>
          <w:color w:val="1F284C"/>
          <w:sz w:val="24"/>
          <w:szCs w:val="24"/>
        </w:rPr>
        <w:t xml:space="preserve">simlerinin eşit şekilde öğrenme hakkından faydalanmasını sağlamak, </w:t>
      </w:r>
    </w:p>
    <w:p w:rsidR="005972D1" w:rsidRPr="00A82DCE" w:rsidP="00A82DCE" w14:paraId="6E3DC9F8" w14:textId="51CCF64B">
      <w:pPr>
        <w:pStyle w:val="ListParagraph"/>
        <w:numPr>
          <w:ilvl w:val="0"/>
          <w:numId w:val="4"/>
        </w:numPr>
        <w:tabs>
          <w:tab w:val="left" w:pos="284"/>
        </w:tabs>
        <w:spacing w:after="0" w:line="360" w:lineRule="auto"/>
        <w:ind w:left="0" w:firstLine="0"/>
        <w:jc w:val="both"/>
        <w:rPr>
          <w:rFonts w:ascii="Times New Roman" w:eastAsia="Roboto" w:hAnsi="Times New Roman" w:cs="Times New Roman"/>
          <w:color w:val="1F284C"/>
          <w:sz w:val="24"/>
          <w:szCs w:val="24"/>
        </w:rPr>
      </w:pPr>
      <w:r w:rsidRPr="00A82DCE" w:rsidR="00DB2928">
        <w:rPr>
          <w:rFonts w:ascii="Times New Roman" w:eastAsia="Roboto" w:hAnsi="Times New Roman" w:cs="Times New Roman"/>
          <w:color w:val="1F284C"/>
          <w:sz w:val="24"/>
          <w:szCs w:val="24"/>
        </w:rPr>
        <w:t>Üniversitenin doğal paydaşı olmayan toplum kesimleri ile de etkileşimi artırmak,</w:t>
      </w:r>
    </w:p>
    <w:p w:rsidR="005972D1" w:rsidRPr="00A82DCE" w:rsidP="00CC4D7F" w14:paraId="258796CD" w14:textId="0437A22C">
      <w:pPr>
        <w:pStyle w:val="ListParagraph"/>
        <w:numPr>
          <w:ilvl w:val="0"/>
          <w:numId w:val="4"/>
        </w:numPr>
        <w:tabs>
          <w:tab w:val="left" w:pos="284"/>
        </w:tabs>
        <w:spacing w:after="0" w:line="360" w:lineRule="auto"/>
        <w:ind w:left="284" w:hanging="284"/>
        <w:jc w:val="both"/>
        <w:rPr>
          <w:rFonts w:ascii="Times New Roman" w:eastAsia="Roboto" w:hAnsi="Times New Roman" w:cs="Times New Roman"/>
          <w:color w:val="1F284C"/>
          <w:sz w:val="24"/>
          <w:szCs w:val="24"/>
        </w:rPr>
      </w:pPr>
      <w:r w:rsidRPr="00A82DCE" w:rsidR="00DB2928">
        <w:rPr>
          <w:rFonts w:ascii="Times New Roman" w:eastAsia="Roboto" w:hAnsi="Times New Roman" w:cs="Times New Roman"/>
          <w:color w:val="1F284C"/>
          <w:sz w:val="24"/>
          <w:szCs w:val="24"/>
        </w:rPr>
        <w:t>Teknolojik gelişmelerin sağladığı imkânlardan faydalanarak eğitimde zaman ve mekân kısıtını ortadan kaldırmak suretiyle sürdürülebilirliği sağlamak.</w:t>
      </w:r>
    </w:p>
    <w:p w:rsidR="00CC4D7F" w:rsidP="00CC4D7F" w14:paraId="75F661B5" w14:textId="77777777">
      <w:pPr>
        <w:spacing w:after="0" w:line="360" w:lineRule="auto"/>
        <w:jc w:val="both"/>
        <w:rPr>
          <w:rFonts w:ascii="Times New Roman" w:eastAsia="Roboto" w:hAnsi="Times New Roman" w:cs="Times New Roman"/>
          <w:color w:val="1F284C"/>
          <w:sz w:val="24"/>
          <w:szCs w:val="24"/>
        </w:rPr>
      </w:pPr>
    </w:p>
    <w:p w:rsidR="005972D1" w:rsidRPr="00A82DCE" w:rsidP="00CC4D7F" w14:paraId="2E1AC43F" w14:textId="18C26DAE">
      <w:pPr>
        <w:spacing w:after="0" w:line="360" w:lineRule="auto"/>
        <w:jc w:val="both"/>
        <w:rPr>
          <w:rFonts w:ascii="Times New Roman" w:eastAsia="Roboto" w:hAnsi="Times New Roman" w:cs="Times New Roman"/>
          <w:color w:val="1F284C"/>
          <w:sz w:val="24"/>
          <w:szCs w:val="24"/>
        </w:rPr>
      </w:pPr>
      <w:r w:rsidRPr="00A82DCE">
        <w:rPr>
          <w:rFonts w:ascii="Times New Roman" w:eastAsia="Roboto" w:hAnsi="Times New Roman" w:cs="Times New Roman"/>
          <w:color w:val="1F284C"/>
          <w:sz w:val="24"/>
          <w:szCs w:val="24"/>
        </w:rPr>
        <w:t>Bu hedeflerin gerçekleşme derecesini izlemek için göstergeler oluşturulur. Gerçekleşme yüzdeleri tespit edilir, düzeltici ve iyileştirici önlemler alınır.</w:t>
      </w:r>
    </w:p>
    <w:p w:rsidR="005972D1" w:rsidRPr="005972D1" w:rsidP="005972D1" w14:paraId="68539234" w14:textId="77777777">
      <w:pPr>
        <w:spacing w:after="0" w:line="360" w:lineRule="auto"/>
        <w:jc w:val="both"/>
        <w:rPr>
          <w:rFonts w:ascii="Times New Roman" w:eastAsia="Roboto" w:hAnsi="Times New Roman" w:cs="Times New Roman"/>
          <w:sz w:val="24"/>
          <w:szCs w:val="24"/>
        </w:rPr>
      </w:pPr>
    </w:p>
    <w:p w:rsidR="006B0455" w:rsidRPr="006B0455" w:rsidP="003264AC" w14:paraId="31E9AF4C" w14:textId="76934AE8">
      <w:pPr>
        <w:spacing w:after="0" w:line="240" w:lineRule="auto"/>
        <w:ind w:left="7200"/>
        <w:rPr>
          <w:rFonts w:ascii="Times New Roman" w:eastAsia="Roboto" w:hAnsi="Times New Roman" w:cs="Times New Roman"/>
          <w:b/>
          <w:color w:val="002060"/>
          <w:sz w:val="24"/>
          <w:szCs w:val="24"/>
        </w:rPr>
      </w:pPr>
      <w:r w:rsidRPr="006B0455">
        <w:rPr>
          <w:rFonts w:ascii="Times New Roman" w:eastAsia="Roboto" w:hAnsi="Times New Roman" w:cs="Times New Roman"/>
          <w:b/>
          <w:color w:val="002060"/>
          <w:sz w:val="24"/>
          <w:szCs w:val="24"/>
        </w:rPr>
        <w:t>Rektörlük Onayı</w:t>
      </w:r>
    </w:p>
    <w:p w:rsidR="007A3DFD" w:rsidRPr="006B0455" w14:paraId="0000000C" w14:textId="77777777">
      <w:pPr>
        <w:rPr>
          <w:rFonts w:ascii="Times New Roman" w:hAnsi="Times New Roman" w:cs="Times New Roman"/>
          <w:sz w:val="24"/>
          <w:szCs w:val="24"/>
        </w:rPr>
      </w:pPr>
    </w:p>
    <w:sectPr w:rsidSect="009F396C">
      <w:footerReference w:type="default" r:id="rId7"/>
      <w:pgSz w:w="11906" w:h="16838"/>
      <w:pgMar w:top="1417" w:right="1417" w:bottom="1417" w:left="1417"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455" w:rsidRPr="00B810AC" w:rsidP="0064302A" w14:paraId="6638E27E" w14:textId="66DA0CD2">
    <w:pPr>
      <w:pStyle w:val="Footer"/>
    </w:pPr>
    <w:r>
      <w:rPr>
        <w:rFonts w:ascii="Times New Roman" w:hAnsi="Times New Roman" w:cs="Times New Roman"/>
        <w:i/>
        <w:sz w:val="16"/>
        <w:szCs w:val="16"/>
      </w:rPr>
      <w:t>YNT.PK.001</w:t>
    </w:r>
    <w:r>
      <w:rPr>
        <w:rFonts w:ascii="Times New Roman" w:hAnsi="Times New Roman" w:cs="Times New Roman"/>
        <w:i/>
        <w:sz w:val="16"/>
        <w:szCs w:val="16"/>
      </w:rPr>
      <w:t xml:space="preserve">          Yayın Tarihi: </w:t>
    </w:r>
    <w:r>
      <w:rPr>
        <w:rFonts w:ascii="Times New Roman" w:hAnsi="Times New Roman" w:cs="Times New Roman"/>
        <w:i/>
        <w:sz w:val="16"/>
        <w:szCs w:val="16"/>
      </w:rPr>
      <w:t>10.10.2024</w:t>
    </w:r>
    <w:r>
      <w:rPr>
        <w:rFonts w:ascii="Times New Roman" w:hAnsi="Times New Roman" w:cs="Times New Roman"/>
        <w:i/>
        <w:sz w:val="16"/>
        <w:szCs w:val="16"/>
      </w:rPr>
      <w:t xml:space="preserve">         Revizyon Tarihi: </w:t>
    </w:r>
    <w:r>
      <w:rPr>
        <w:rFonts w:ascii="Times New Roman" w:hAnsi="Times New Roman" w:cs="Times New Roman"/>
        <w:i/>
        <w:sz w:val="16"/>
        <w:szCs w:val="16"/>
      </w:rPr>
      <w:t>10.10.2024</w:t>
    </w:r>
    <w:r>
      <w:rPr>
        <w:rFonts w:ascii="Times New Roman" w:hAnsi="Times New Roman" w:cs="Times New Roman"/>
        <w:i/>
        <w:sz w:val="16"/>
        <w:szCs w:val="16"/>
      </w:rPr>
      <w:t xml:space="preserve">           Rev.  </w:t>
    </w:r>
    <w:r>
      <w:rPr>
        <w:rFonts w:ascii="Times New Roman" w:hAnsi="Times New Roman" w:cs="Times New Roman"/>
        <w:i/>
        <w:sz w:val="16"/>
        <w:szCs w:val="16"/>
      </w:rPr>
      <w:t>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F521A6"/>
    <w:multiLevelType w:val="hybridMultilevel"/>
    <w:tmpl w:val="DA9E990E"/>
    <w:lvl w:ilvl="0">
      <w:start w:val="1"/>
      <w:numFmt w:val="decimal"/>
      <w:lvlText w:val="%1."/>
      <w:lvlJc w:val="left"/>
      <w:pPr>
        <w:ind w:left="1004" w:hanging="360"/>
      </w:pPr>
      <w:rPr>
        <w:b/>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
    <w:nsid w:val="52EC61F4"/>
    <w:multiLevelType w:val="hybridMultilevel"/>
    <w:tmpl w:val="C0A4E076"/>
    <w:lvl w:ilvl="0">
      <w:start w:val="1"/>
      <w:numFmt w:val="bullet"/>
      <w:lvlText w:val=""/>
      <w:lvlJc w:val="left"/>
      <w:pPr>
        <w:ind w:left="720" w:hanging="360"/>
      </w:pPr>
      <w:rPr>
        <w:rFonts w:ascii="Wingdings" w:hAnsi="Wingdings" w:hint="default"/>
        <w:b/>
        <w:color w:val="1F284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E52B9C"/>
    <w:multiLevelType w:val="hybridMultilevel"/>
    <w:tmpl w:val="8F563844"/>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nsid w:val="6F155051"/>
    <w:multiLevelType w:val="hybridMultilevel"/>
    <w:tmpl w:val="666A6C64"/>
    <w:lvl w:ilvl="0">
      <w:start w:val="1"/>
      <w:numFmt w:val="bullet"/>
      <w:lvlText w:val=""/>
      <w:lvlJc w:val="left"/>
      <w:pPr>
        <w:ind w:left="1004" w:hanging="360"/>
      </w:pPr>
      <w:rPr>
        <w:rFonts w:ascii="Wingdings" w:hAnsi="Wingdings" w:hint="default"/>
        <w:b/>
        <w:color w:val="1F284C"/>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
    <w:nsid w:val="7A5E3284"/>
    <w:multiLevelType w:val="multilevel"/>
    <w:tmpl w:val="5D006318"/>
    <w:lvl w:ilvl="0">
      <w:start w:val="1"/>
      <w:numFmt w:val="bullet"/>
      <w:lvlText w:val=""/>
      <w:lvlJc w:val="left"/>
      <w:pPr>
        <w:ind w:left="720" w:hanging="360"/>
      </w:pPr>
      <w:rPr>
        <w:rFonts w:ascii="Wingdings" w:hAnsi="Wingdings" w:hint="default"/>
        <w:color w:val="00206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D"/>
    <w:rsid w:val="00093142"/>
    <w:rsid w:val="000C38C2"/>
    <w:rsid w:val="00125EE5"/>
    <w:rsid w:val="003017A8"/>
    <w:rsid w:val="003264AC"/>
    <w:rsid w:val="00503519"/>
    <w:rsid w:val="005972D1"/>
    <w:rsid w:val="005D7DA5"/>
    <w:rsid w:val="0064302A"/>
    <w:rsid w:val="006B0455"/>
    <w:rsid w:val="00724D01"/>
    <w:rsid w:val="007A3DFD"/>
    <w:rsid w:val="007D44DA"/>
    <w:rsid w:val="00836619"/>
    <w:rsid w:val="008B521E"/>
    <w:rsid w:val="009A5640"/>
    <w:rsid w:val="009F396C"/>
    <w:rsid w:val="00A251C4"/>
    <w:rsid w:val="00A82DCE"/>
    <w:rsid w:val="00AF33AD"/>
    <w:rsid w:val="00B14B66"/>
    <w:rsid w:val="00B27D94"/>
    <w:rsid w:val="00B810AC"/>
    <w:rsid w:val="00BA10D8"/>
    <w:rsid w:val="00CC4D7F"/>
    <w:rsid w:val="00D36A72"/>
    <w:rsid w:val="00DA305B"/>
    <w:rsid w:val="00DA34DE"/>
    <w:rsid w:val="00DA652D"/>
    <w:rsid w:val="00DB2928"/>
    <w:rsid w:val="00DC549B"/>
    <w:rsid w:val="00E2381F"/>
    <w:rsid w:val="00EC16D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FA6568D"/>
  <w15:docId w15:val="{DE16C371-6D3F-454F-807A-ED4CB311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GvdeMetniChar"/>
    <w:rsid w:val="00704F45"/>
    <w:pPr>
      <w:spacing w:before="120" w:after="0" w:line="360" w:lineRule="auto"/>
      <w:jc w:val="both"/>
    </w:pPr>
    <w:rPr>
      <w:rFonts w:ascii="Arial" w:eastAsia="Times New Roman" w:hAnsi="Arial" w:cs="Times New Roman"/>
      <w:sz w:val="24"/>
      <w:szCs w:val="20"/>
    </w:rPr>
  </w:style>
  <w:style w:type="character" w:customStyle="1" w:styleId="GvdeMetniChar">
    <w:name w:val="Gövde Metni Char"/>
    <w:basedOn w:val="DefaultParagraphFont"/>
    <w:link w:val="BodyText"/>
    <w:rsid w:val="00704F45"/>
    <w:rPr>
      <w:rFonts w:ascii="Arial" w:eastAsia="Times New Roman" w:hAnsi="Arial" w:cs="Times New Roman"/>
      <w:sz w:val="24"/>
      <w:szCs w:val="20"/>
      <w:lang w:eastAsia="tr-TR"/>
    </w:rPr>
  </w:style>
  <w:style w:type="paragraph" w:styleId="ListParagraph">
    <w:name w:val="List Paragraph"/>
    <w:basedOn w:val="Normal"/>
    <w:uiPriority w:val="34"/>
    <w:qFormat/>
    <w:rsid w:val="00A45566"/>
    <w:pPr>
      <w:ind w:left="720"/>
      <w:contextualSpacing/>
    </w:pPr>
  </w:style>
  <w:style w:type="paragraph" w:styleId="NormalWeb">
    <w:name w:val="Normal (Web)"/>
    <w:basedOn w:val="Normal"/>
    <w:uiPriority w:val="99"/>
    <w:semiHidden/>
    <w:unhideWhenUsed/>
    <w:rsid w:val="008E15D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stBilgiChar"/>
    <w:uiPriority w:val="99"/>
    <w:unhideWhenUsed/>
    <w:rsid w:val="006B0455"/>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6B0455"/>
  </w:style>
  <w:style w:type="paragraph" w:styleId="Footer">
    <w:name w:val="footer"/>
    <w:basedOn w:val="Normal"/>
    <w:link w:val="AltBilgiChar"/>
    <w:uiPriority w:val="99"/>
    <w:unhideWhenUsed/>
    <w:rsid w:val="006B0455"/>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6B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2nM5Ic4sBHkUazY+PQBSoME2g==">AMUW2mVbaxLgffLKl8CAvnfHdMM1mzFHVRozYpId6+Ub455c+eoICV7Kp+D/I9Kf2lBcffV5zvD8Wq6YYVxkGhYtg3d1GBFxcLDLSJNLNCn36wLaZYq94FH+9CUqSWPlOoQsFYsBGI3X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669BC2-7FC6-4516-9938-2B101A0D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bkaraduman</dc:creator>
  <cp:lastModifiedBy>kucelik</cp:lastModifiedBy>
  <cp:revision>13</cp:revision>
  <dcterms:created xsi:type="dcterms:W3CDTF">2022-10-31T07:47:00Z</dcterms:created>
  <dcterms:modified xsi:type="dcterms:W3CDTF">2022-12-12T12:17:00Z</dcterms:modified>
</cp:coreProperties>
</file>