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BC" w:rsidRPr="00BC00BC" w:rsidRDefault="00BC00BC" w:rsidP="00BC00BC">
      <w:pPr>
        <w:pBdr>
          <w:bottom w:val="single" w:sz="6" w:space="15" w:color="D7D7D7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C3C3B"/>
          <w:sz w:val="32"/>
          <w:szCs w:val="24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color w:val="3C3C3B"/>
          <w:sz w:val="32"/>
          <w:szCs w:val="24"/>
          <w:lang w:eastAsia="tr-TR"/>
        </w:rPr>
        <w:t xml:space="preserve">İGÜ </w:t>
      </w:r>
      <w:proofErr w:type="spellStart"/>
      <w:r w:rsidRPr="00BC00BC">
        <w:rPr>
          <w:rFonts w:ascii="Times New Roman" w:eastAsia="Times New Roman" w:hAnsi="Times New Roman" w:cs="Times New Roman"/>
          <w:b/>
          <w:color w:val="3C3C3B"/>
          <w:sz w:val="32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color w:val="3C3C3B"/>
          <w:sz w:val="32"/>
          <w:szCs w:val="24"/>
          <w:lang w:eastAsia="tr-TR"/>
        </w:rPr>
        <w:t xml:space="preserve"> Programı Yönergesi</w:t>
      </w:r>
    </w:p>
    <w:p w:rsidR="00BC00BC" w:rsidRPr="00BC00BC" w:rsidRDefault="00BC00BC" w:rsidP="00BC00BC">
      <w:pPr>
        <w:spacing w:after="300" w:line="360" w:lineRule="atLeast"/>
        <w:ind w:left="26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 </w:t>
      </w:r>
    </w:p>
    <w:p w:rsidR="00BC00BC" w:rsidRPr="00BC00BC" w:rsidRDefault="00BC00BC" w:rsidP="00BC00BC">
      <w:pPr>
        <w:spacing w:after="0" w:line="36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BİRİNCİ BÖLÜM</w:t>
      </w:r>
    </w:p>
    <w:p w:rsidR="00BC00BC" w:rsidRPr="00BC00BC" w:rsidRDefault="00BC00BC" w:rsidP="00BC00BC">
      <w:pPr>
        <w:spacing w:after="0" w:line="36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Amaç, Kapsam ve Hukuki Dayanak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Amaç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1 -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İstanbul Gelişim Üniversitesi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Lisans Eğitim-Öğretim ve Sınav Yönetmeliği hükümlerine bağlı olarak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Lisans Programlarını üstün başarıyla yürüten öğrencilerin istedikleri takdirde ikinci bir lisans dalında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sertifikası almak üzere  öğrenim görmelerini sağlamaktır.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Kapsam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2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- (1) İstanbul Gelişim Üniversitesi’nde,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programlarında eğitim ve öğretim bu yönerge hükümleri uyarınca yürütülür ve İstanbul Gelişim Üniversitesi lisans düzeyindeki öğrencileri kapsar. Bu yönergede hüküm bulunmayan konularda, Yükseköğretim Kurumlarında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Lisans Düzeyindeki Programlar Arasında Geçiş,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İle Kurumlar Arası Kredi Transferi Yapılması Esaslarına İlişkin Yönetmelik ve İstanbul Gelişim Üniversitesi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Lisans Eğitim - Öğretim ve Sınav Yönetmeliği hükümleri ile İstanbul Gelişim Üniversitesi Senatosu kararları uygulanır.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Hukuki Dayanak</w:t>
      </w:r>
    </w:p>
    <w:p w:rsidR="00BC00BC" w:rsidRPr="00BC00BC" w:rsidRDefault="00BC00BC" w:rsidP="00BC00BC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shd w:val="clear" w:color="auto" w:fill="FFFFFF"/>
          <w:lang w:eastAsia="tr-TR"/>
        </w:rPr>
        <w:t> 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gram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3 -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Bu yönerge, 24 Nisan 2010 tarih ve 27561 Sayılı Resmi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Gazete’de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yayınlanan ve 18 Mart 2016 tarih ve 29657 Sayılı Resmi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Gazete’de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değişiklikler yapılan “Yükseköğretim Kurumlarında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Lisans Düzeyindeki Programlar Arasında Geçiş,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İle Kurumlar Arası Kredi Transferi Yapılması Esaslarına İlişkin Yönetmelik” ve İstanbul Gelişim Üniversitesi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Lisans Eğitim-Öğretim ve Sınav Yönetmeliğine dayanılarak hazırlanmıştır.</w:t>
      </w:r>
      <w:proofErr w:type="gramEnd"/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Tanımlar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4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- (1) Bu yönergede geçen;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AKTS: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Avrupa kredi transfer sistemini,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b) </w:t>
      </w: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gram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Programı 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Öğrencinin</w:t>
      </w:r>
      <w:proofErr w:type="gram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ÖSYS ile yerleştirildiği lisans programını,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c)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Fakülte/Yüksekokul: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İstanbul Gelişim Üniversitesinde lisans eğitimi yapılan fakülte ve yüksekokulu,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d)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Fakülte/Yüksekokul Kurulu: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İstanbul Gelişim Üniversitesinde lisans eğitimi yapan fakülte ve yüksekokul yönetim kurullarını,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e)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GANO: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Genel ağırlıklı not ortalamasını,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f) 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İlgili    Yönetim    Kurulu:   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Fakültelerde   fakülte   yönetim    kurulunu,    yüksekokullarda yüksekokul yönetim kurulunu,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lastRenderedPageBreak/>
        <w:t>g)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Kontenjan: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Önceden belirlenip ilan edilen öğrenci sayısını,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h)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Senato: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İstanbul Gelişim Üniversitesi Senatosunu,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i)  </w:t>
      </w: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Üniversite: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İstanbul Gelişim Üniversitesini,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j)  </w:t>
      </w: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programı: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Bir diploma programına kayıtlı öğrencinin öngörülen şartları taşıması kaydıyla, aynı yükseköğretim kurumu içinde başka bir diploma programı kapsamında belirli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gram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bir</w:t>
      </w:r>
      <w:proofErr w:type="gram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konuya yönelik sınırlı sayıda dersi almak suretiyle, diploma yerine geçmeyen bir belge (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sertifikası) alabilmelerini sağlayan programını, ifade eder.</w:t>
      </w:r>
    </w:p>
    <w:p w:rsidR="00BC00BC" w:rsidRPr="00BC00BC" w:rsidRDefault="00BC00BC" w:rsidP="00BC00BC">
      <w:pPr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İKİNCİ BÖLÜM</w:t>
      </w:r>
    </w:p>
    <w:p w:rsidR="00BC00BC" w:rsidRPr="00BC00BC" w:rsidRDefault="00BC00BC" w:rsidP="00BC00BC">
      <w:pPr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shd w:val="clear" w:color="auto" w:fill="FFFFFF"/>
          <w:lang w:eastAsia="tr-TR"/>
        </w:rPr>
      </w:pP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  <w:t xml:space="preserve"> Programı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Programının Açılması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5 -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sadece İstanbul Gelişim Üniversitesi bünyesindeki lisans diploma programları arasında açılabilir.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(2)  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açmak isteyen bölümlerin ve fakülte /yüksekokul kurulunun önerisi ve Üniversite Senatosunun onayı ile kesinleşir.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(3)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programı, senato kararı ile belirlenmiş olan en az 6 adet ders olmak üzere en az 18 kredilik zorunlu veya seçmeli alan dersi koşullarının her ikisini birden sağlayan bir programdır.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Programına Başvuru, Kabul ve Kayıt Koşulları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6 -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öğrencisi kabul edecek lisans programlarının Üniversite Senatosunca belirlenen kontenjanları ilgili yarıyıl başlangıcından en az otuz gün önce üniversite web sayfasında ilan edilir.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(2)     Öğrenci, duyurulmuş olan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lisans programının en erken 3. yarıyıl ve en geç 6. yarıyıl başında başvurabilir.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(3)    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başvurabilmesi için başvurduğu yarıyıla kadar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lisans programında yer alan tüm kredili dersleri başarıyla tamamlamış olması ve bir disiplin cezası almamış olması gerekir.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(4)   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başvurabilmesi için başvuru sırasındaki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anadalında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genel ağırlıklı not ortalamasının 100 üzerinden en az 65 (2.50/4.00) olması gerekir.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(5)  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başvurular akademik takvimde belirtilen tarihte, başvuru formu ve not belgesi ile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yapılacak bölüm başkanlığına yapılır.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(6)    Başvuru sırasında öğrenci en fazla üç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 tercih edebilir. Öğrenci tercih sırasına göre bir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yerleştirilir. Aynı anda birden fazla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yapılamaz. Ancak, aynı anda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ile bir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yapılabilir.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lastRenderedPageBreak/>
        <w:t>(7)   Kabul işlemi başvurulan bölümün önerisi ve ilgili yönetim kurulu kararıyla tamamlanır.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Danışmanlık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7 -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programındaki dersleri belirlemede ve bunların alınacağı yarıyılları planlamada öğrencilere yardımcı olmak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programının amacına uygun biçimde yürütülmesini sağlamak ve öğrenciye danışmanlık yapmak üzere ilgili bölüm başkanlığınca bir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 koordinatörü atanır.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 koordinatörü öğrencilerin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lisans programı danışmanları ile iletişim içinde görev yapar.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ve </w:t>
      </w: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Programı İlişkileri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8 -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programındaki başarı durumu,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programındaki başarı durumunu ve mezuniyetini hiçbir biçimde etkilemez.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için ayrı not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gram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döküm</w:t>
      </w:r>
      <w:proofErr w:type="gram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belgesi düzenlenir.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not döküm belgesinde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programının tüm dersleri yer alır.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(2) 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veya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var olan  bir ders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saydırılamaz.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(3)  Bir dönemde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,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en fazla alacağı toplam ders yükü 45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AKTS’yi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aşamaz.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Başarı ve Mezuniyet Koşulları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9 -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genel ağırlıklı not ortalaması 4.00 üzerinden en az 2.00 olan öğrenciler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başarılı sayılırlar.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(2)  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kayıtlı öğrenciler için sınıf içinde başarı sıralaması yapılmaz, bölüm veya mezuniyet sıralamaları dikkate alınmaz.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(3)  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mezuniyet hakkını elde eden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 4.00 üzerinden en az 2.00 ortalamayla tamamlayan öğrencilere eğitim aldıkları alanda sadece bir belge (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sertifikası) verilir. Bu belgeler diploma yerine geçmez.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(4)  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mezuniyet hakkını elde eden ve henüz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 bitirmeyen öğrencilere ilgili yönetim kurullarının kararı ile en fazla iki yarıyıl ek süre tanınır. Ek süre verilen öğrenciler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için verilen eğitim bursu dışındaki diğer burs, başarı bursu, maddi destek ve diğer öğrencilik haklarından yararlanamazlar.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(5)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 tamamlayan öğrenci,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alanında lisans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önlisans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diplomasıyla verilen hak ve yetkilerden yararlanamaz.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(6)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ayrılan veya ilişiği kesilen bir öğrenci, eğer ayrıldığı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verilen bir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programının tüm koşullarını yerine getirmiş ise tercih etmesi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durmunda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o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ait sertifikayı almaya hak kazanır. Öğrenci eğer tercih ettiği 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lastRenderedPageBreak/>
        <w:t xml:space="preserve">ilgili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programının tüm gereklerini yerine getirememişse, eksik derslerini tamamlayabilmesi amacıyla, kendisine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yandala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başvurma dönemi kısıtlaması şartı uygulanmaksızın o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başvuru hakkı tanınır.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proofErr w:type="spellStart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Programından Geçici veya Sürekli Ayrılma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10 -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(1)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öğrencisi, öğrenim sürecinin herhangi bir yarıyılında programı  kendi isteğiyle bırakabilir.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kayıt sildiren veya kaydı silinen bir öğrenci, aynı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tekrar kayıt yaptıramaz.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(2) 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veya çift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kayıtlı öğrenciler de başvuru koşullarını sağlamak kaydı ile başka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programlarına başvurabilir ve devam etmekte olduğu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bırakmak kaydı ile yeni bir programa geçebilir.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(3)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izinli sayılan öğrenci,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da izinli sayılır.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(4) 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 dersin açılmaması veya ders çakışması gibi nedenlerle ders alamayacak olan öğrencilere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veren bölümün önerisi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programının bağlı olduğu ilgili yönetim kurulu kararı ile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dönem izni verilebilir.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(5)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programında, izin almadan iki yarıyıl üst üste ders kaydı yaptırmayan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kaydı silinir.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(6)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devam edebilmesi için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programındaki genel ağırlıklı not ortalamasının 100 üzerinden en az 60 (2.30/4.00) olması şarttır. Bu şartı sağlayamayan öğrencinin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kaydı silinir. Bu durumda öğrencinin başarılı olduğu ve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anadal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programına sayılmayan dersler, genel ağırlıklı not ortalamasına </w:t>
      </w:r>
      <w:proofErr w:type="gram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dahil</w:t>
      </w:r>
      <w:proofErr w:type="gram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edilmeksizin not döküm belgesi ve diploma ekinde yer alır.</w:t>
      </w:r>
    </w:p>
    <w:p w:rsidR="00BC00BC" w:rsidRPr="00BC00BC" w:rsidRDefault="00BC00BC" w:rsidP="00BC00BC">
      <w:pPr>
        <w:spacing w:after="30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(7)  Öğrenci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programından ayrıldığında, başarısız olduğu </w:t>
      </w:r>
      <w:proofErr w:type="spellStart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yandal</w:t>
      </w:r>
      <w:proofErr w:type="spellEnd"/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 xml:space="preserve"> programı derslerini tekrarlamak zorunda değildir.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ÜÇÜNCÜ BÖLÜM</w:t>
      </w:r>
    </w:p>
    <w:p w:rsidR="00BC00BC" w:rsidRPr="00BC00BC" w:rsidRDefault="00BC00BC" w:rsidP="00BC00BC">
      <w:pPr>
        <w:spacing w:after="0" w:line="360" w:lineRule="atLeast"/>
        <w:ind w:left="1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Yürürlük ve Yürütme</w:t>
      </w:r>
    </w:p>
    <w:p w:rsidR="00BC00BC" w:rsidRPr="00BC00BC" w:rsidRDefault="00BC00BC" w:rsidP="00BC00BC">
      <w:pPr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Yürürlük</w:t>
      </w:r>
    </w:p>
    <w:p w:rsidR="00BC00BC" w:rsidRPr="00BC00BC" w:rsidRDefault="00BC00BC" w:rsidP="00BC00BC">
      <w:pPr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bookmarkStart w:id="0" w:name="_GoBack"/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14 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- (1) Bu yönerge 2017-2018 Eğitim-Öğretim yılı başında yürürlüğe girer.</w:t>
      </w:r>
    </w:p>
    <w:p w:rsidR="00BC00BC" w:rsidRPr="00BC00BC" w:rsidRDefault="00BC00BC" w:rsidP="00BC00BC">
      <w:pPr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Yürütme</w:t>
      </w:r>
    </w:p>
    <w:p w:rsidR="00BC00BC" w:rsidRPr="00BC00BC" w:rsidRDefault="00BC00BC" w:rsidP="00BC00BC">
      <w:pPr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BC0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MADDE 15</w:t>
      </w:r>
      <w:r w:rsidRPr="00BC0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-(1) Bu yönerge İstanbul Gelişim Üniversitesi Rektörü tarafından yürütülür.</w:t>
      </w:r>
    </w:p>
    <w:bookmarkEnd w:id="0"/>
    <w:p w:rsidR="00A52586" w:rsidRPr="00BC00BC" w:rsidRDefault="00A52586" w:rsidP="00BC00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2586" w:rsidRPr="00B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BC"/>
    <w:rsid w:val="00A52586"/>
    <w:rsid w:val="00BC00BC"/>
    <w:rsid w:val="00D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3AAD-C916-47B1-AFEA-2CAEE77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C0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0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00B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00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C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C0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okoklu</dc:creator>
  <cp:keywords/>
  <dc:description/>
  <cp:lastModifiedBy>okoklu</cp:lastModifiedBy>
  <cp:revision>2</cp:revision>
  <dcterms:created xsi:type="dcterms:W3CDTF">2018-05-25T13:52:00Z</dcterms:created>
  <dcterms:modified xsi:type="dcterms:W3CDTF">2018-05-25T13:53:00Z</dcterms:modified>
</cp:coreProperties>
</file>